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9B45" w14:textId="1436CF34" w:rsidR="00492E32" w:rsidRPr="00240868" w:rsidRDefault="00492E32" w:rsidP="00240868">
      <w:pPr>
        <w:pStyle w:val="Heading4"/>
        <w:jc w:val="center"/>
        <w:rPr>
          <w:rFonts w:eastAsia="Calibri"/>
          <w:sz w:val="80"/>
          <w:szCs w:val="80"/>
        </w:rPr>
      </w:pPr>
      <w:r w:rsidRPr="00240868">
        <w:rPr>
          <w:rFonts w:eastAsia="Calibri"/>
          <w:sz w:val="80"/>
          <w:szCs w:val="80"/>
        </w:rPr>
        <w:t>Theatreview 2021-22</w:t>
      </w:r>
    </w:p>
    <w:p w14:paraId="61C84026" w14:textId="2B9C9A74" w:rsidR="008D0C0B" w:rsidRDefault="00151943" w:rsidP="00117C07">
      <w:pPr>
        <w:jc w:val="both"/>
        <w:rPr>
          <w:rFonts w:cstheme="minorHAnsi"/>
        </w:rPr>
      </w:pPr>
      <w:r>
        <w:rPr>
          <w:rFonts w:cstheme="minorHAnsi"/>
        </w:rPr>
        <w:t>A</w:t>
      </w:r>
      <w:r w:rsidR="008D0C0B">
        <w:rPr>
          <w:rFonts w:cstheme="minorHAnsi"/>
        </w:rPr>
        <w:t xml:space="preserve">gainst odds both </w:t>
      </w:r>
      <w:r w:rsidR="00DE1FF9">
        <w:rPr>
          <w:rFonts w:cstheme="minorHAnsi"/>
        </w:rPr>
        <w:t>the performing arts sector</w:t>
      </w:r>
      <w:r w:rsidR="000867B6">
        <w:rPr>
          <w:rFonts w:cstheme="minorHAnsi"/>
        </w:rPr>
        <w:t xml:space="preserve"> and</w:t>
      </w:r>
      <w:r w:rsidR="00DE1FF9">
        <w:rPr>
          <w:rFonts w:cstheme="minorHAnsi"/>
        </w:rPr>
        <w:t xml:space="preserve"> </w:t>
      </w:r>
      <w:r w:rsidR="000867B6">
        <w:rPr>
          <w:rFonts w:cstheme="minorHAnsi"/>
        </w:rPr>
        <w:t xml:space="preserve">Theatreview </w:t>
      </w:r>
      <w:r>
        <w:rPr>
          <w:rFonts w:cstheme="minorHAnsi"/>
        </w:rPr>
        <w:t>weathered</w:t>
      </w:r>
      <w:r w:rsidR="008D0C0B">
        <w:rPr>
          <w:rFonts w:cstheme="minorHAnsi"/>
        </w:rPr>
        <w:t xml:space="preserve"> what was at times a fraught</w:t>
      </w:r>
      <w:r w:rsidR="000826DE" w:rsidRPr="00C8430D">
        <w:rPr>
          <w:rFonts w:cstheme="minorHAnsi"/>
        </w:rPr>
        <w:t xml:space="preserve"> 2021</w:t>
      </w:r>
      <w:r w:rsidR="000826DE">
        <w:rPr>
          <w:rFonts w:cstheme="minorHAnsi"/>
        </w:rPr>
        <w:t>-22</w:t>
      </w:r>
      <w:r w:rsidR="008D0C0B">
        <w:rPr>
          <w:rFonts w:cstheme="minorHAnsi"/>
        </w:rPr>
        <w:t xml:space="preserve">. </w:t>
      </w:r>
    </w:p>
    <w:p w14:paraId="781C61E3" w14:textId="654D828B" w:rsidR="00BE094B" w:rsidRDefault="001E07FF" w:rsidP="00117C07">
      <w:pPr>
        <w:jc w:val="both"/>
        <w:rPr>
          <w:rFonts w:cstheme="minorHAnsi"/>
          <w:bCs/>
          <w:iCs/>
        </w:rPr>
      </w:pPr>
      <w:r w:rsidRPr="00C8430D">
        <w:rPr>
          <w:rFonts w:cstheme="minorHAnsi"/>
        </w:rPr>
        <w:t>COVID-19 and its levels of lockdown</w:t>
      </w:r>
      <w:r w:rsidR="00C8430D" w:rsidRPr="00C8430D">
        <w:rPr>
          <w:rFonts w:cstheme="minorHAnsi"/>
        </w:rPr>
        <w:t xml:space="preserve">s continued to impose varying </w:t>
      </w:r>
      <w:r w:rsidR="00C8430D" w:rsidRPr="004548C9">
        <w:rPr>
          <w:rFonts w:cstheme="minorHAnsi"/>
        </w:rPr>
        <w:t>levels of</w:t>
      </w:r>
      <w:r w:rsidR="00C8430D" w:rsidRPr="004548C9">
        <w:rPr>
          <w:rFonts w:cstheme="minorHAnsi"/>
          <w:b/>
          <w:i/>
        </w:rPr>
        <w:t xml:space="preserve"> </w:t>
      </w:r>
      <w:r w:rsidR="004548C9" w:rsidRPr="004548C9">
        <w:rPr>
          <w:rFonts w:cstheme="minorHAnsi"/>
          <w:bCs/>
          <w:iCs/>
        </w:rPr>
        <w:t>restriction</w:t>
      </w:r>
      <w:r w:rsidR="00DE1FF9" w:rsidRPr="00DE1FF9">
        <w:rPr>
          <w:rFonts w:cstheme="minorHAnsi"/>
        </w:rPr>
        <w:t xml:space="preserve"> </w:t>
      </w:r>
      <w:r w:rsidR="00DE1FF9" w:rsidRPr="00C8430D">
        <w:rPr>
          <w:rFonts w:cstheme="minorHAnsi"/>
        </w:rPr>
        <w:t>for live performing arts</w:t>
      </w:r>
      <w:r w:rsidR="004548C9" w:rsidRPr="004548C9">
        <w:rPr>
          <w:rFonts w:cstheme="minorHAnsi"/>
          <w:bCs/>
          <w:iCs/>
        </w:rPr>
        <w:t xml:space="preserve">.  </w:t>
      </w:r>
      <w:r w:rsidR="00BE094B">
        <w:rPr>
          <w:rFonts w:cstheme="minorHAnsi"/>
          <w:bCs/>
          <w:iCs/>
        </w:rPr>
        <w:t>M</w:t>
      </w:r>
      <w:r w:rsidR="004548C9" w:rsidRPr="004548C9">
        <w:rPr>
          <w:rFonts w:cstheme="minorHAnsi"/>
          <w:bCs/>
          <w:iCs/>
        </w:rPr>
        <w:t>any months of vis</w:t>
      </w:r>
      <w:r w:rsidR="00520C7B">
        <w:rPr>
          <w:rFonts w:cstheme="minorHAnsi"/>
          <w:bCs/>
          <w:iCs/>
        </w:rPr>
        <w:t>i</w:t>
      </w:r>
      <w:r w:rsidR="004548C9" w:rsidRPr="004548C9">
        <w:rPr>
          <w:rFonts w:cstheme="minorHAnsi"/>
          <w:bCs/>
          <w:iCs/>
        </w:rPr>
        <w:t xml:space="preserve">ons and hard work </w:t>
      </w:r>
      <w:r w:rsidR="00520C7B">
        <w:rPr>
          <w:rFonts w:cstheme="minorHAnsi"/>
          <w:bCs/>
          <w:iCs/>
        </w:rPr>
        <w:t xml:space="preserve">continued to </w:t>
      </w:r>
      <w:r w:rsidR="004548C9" w:rsidRPr="004548C9">
        <w:rPr>
          <w:rFonts w:cstheme="minorHAnsi"/>
          <w:bCs/>
          <w:iCs/>
        </w:rPr>
        <w:t>crash</w:t>
      </w:r>
      <w:r w:rsidR="00520C7B">
        <w:rPr>
          <w:rFonts w:cstheme="minorHAnsi"/>
          <w:bCs/>
          <w:iCs/>
        </w:rPr>
        <w:t xml:space="preserve"> under the limits, and practitioners </w:t>
      </w:r>
      <w:r w:rsidR="00572ECB">
        <w:rPr>
          <w:rFonts w:cstheme="minorHAnsi"/>
          <w:bCs/>
          <w:iCs/>
        </w:rPr>
        <w:t xml:space="preserve">continued </w:t>
      </w:r>
      <w:r w:rsidR="00520C7B">
        <w:rPr>
          <w:rFonts w:cstheme="minorHAnsi"/>
          <w:bCs/>
          <w:iCs/>
        </w:rPr>
        <w:t xml:space="preserve">to </w:t>
      </w:r>
      <w:r w:rsidR="00104825">
        <w:rPr>
          <w:rFonts w:cstheme="minorHAnsi"/>
          <w:bCs/>
          <w:iCs/>
        </w:rPr>
        <w:t xml:space="preserve">have to </w:t>
      </w:r>
      <w:r w:rsidR="00520C7B">
        <w:rPr>
          <w:rFonts w:cstheme="minorHAnsi"/>
          <w:bCs/>
          <w:iCs/>
        </w:rPr>
        <w:t xml:space="preserve">call on </w:t>
      </w:r>
      <w:r w:rsidR="0023145C">
        <w:rPr>
          <w:rFonts w:cstheme="minorHAnsi"/>
          <w:bCs/>
          <w:iCs/>
        </w:rPr>
        <w:t xml:space="preserve">deep </w:t>
      </w:r>
      <w:r w:rsidR="00520C7B">
        <w:rPr>
          <w:rFonts w:cstheme="minorHAnsi"/>
          <w:bCs/>
          <w:iCs/>
        </w:rPr>
        <w:t xml:space="preserve">reserves of ingenuity and resilience.  The number of productions which made it to performance - and review </w:t>
      </w:r>
      <w:r w:rsidR="00DE1FF9">
        <w:rPr>
          <w:rFonts w:cstheme="minorHAnsi"/>
          <w:bCs/>
          <w:iCs/>
        </w:rPr>
        <w:t>–</w:t>
      </w:r>
      <w:r w:rsidR="00520C7B">
        <w:rPr>
          <w:rFonts w:cstheme="minorHAnsi"/>
          <w:bCs/>
          <w:iCs/>
        </w:rPr>
        <w:t xml:space="preserve"> </w:t>
      </w:r>
      <w:r w:rsidR="00DE1FF9">
        <w:rPr>
          <w:rFonts w:cstheme="minorHAnsi"/>
          <w:bCs/>
          <w:iCs/>
        </w:rPr>
        <w:t xml:space="preserve">again </w:t>
      </w:r>
      <w:r w:rsidR="007F12E3">
        <w:rPr>
          <w:rFonts w:cstheme="minorHAnsi"/>
          <w:bCs/>
          <w:iCs/>
        </w:rPr>
        <w:t>dived</w:t>
      </w:r>
      <w:r w:rsidR="00520C7B">
        <w:rPr>
          <w:rFonts w:cstheme="minorHAnsi"/>
          <w:bCs/>
          <w:iCs/>
        </w:rPr>
        <w:t>.</w:t>
      </w:r>
    </w:p>
    <w:p w14:paraId="662C33E0" w14:textId="1E727043" w:rsidR="00BC4BFB" w:rsidRPr="004548C9" w:rsidRDefault="008D0C0B" w:rsidP="00BD5089">
      <w:pPr>
        <w:jc w:val="both"/>
        <w:rPr>
          <w:rFonts w:cstheme="minorHAnsi"/>
          <w:bCs/>
          <w:iCs/>
        </w:rPr>
      </w:pPr>
      <w:r w:rsidRPr="00106CC3">
        <w:rPr>
          <w:rFonts w:cstheme="minorHAnsi"/>
          <w:bCs/>
          <w:iCs/>
        </w:rPr>
        <w:t xml:space="preserve">The ingenuity and resilience </w:t>
      </w:r>
      <w:r w:rsidR="00AB32C8" w:rsidRPr="00106CC3">
        <w:rPr>
          <w:rFonts w:cstheme="minorHAnsi"/>
          <w:bCs/>
          <w:iCs/>
        </w:rPr>
        <w:t xml:space="preserve">found ways to </w:t>
      </w:r>
      <w:r w:rsidRPr="00106CC3">
        <w:rPr>
          <w:rFonts w:cstheme="minorHAnsi"/>
          <w:bCs/>
          <w:iCs/>
        </w:rPr>
        <w:t>fl</w:t>
      </w:r>
      <w:r w:rsidR="00AB32C8" w:rsidRPr="00106CC3">
        <w:rPr>
          <w:rFonts w:cstheme="minorHAnsi"/>
          <w:bCs/>
          <w:iCs/>
        </w:rPr>
        <w:t>ourish</w:t>
      </w:r>
      <w:r w:rsidRPr="00106CC3">
        <w:rPr>
          <w:rFonts w:cstheme="minorHAnsi"/>
          <w:bCs/>
          <w:iCs/>
        </w:rPr>
        <w:t>, though</w:t>
      </w:r>
      <w:r w:rsidR="00AB32C8" w:rsidRPr="00106CC3">
        <w:rPr>
          <w:rFonts w:cstheme="minorHAnsi"/>
          <w:bCs/>
          <w:iCs/>
        </w:rPr>
        <w:t>.</w:t>
      </w:r>
      <w:r w:rsidRPr="00106CC3">
        <w:rPr>
          <w:rFonts w:cstheme="minorHAnsi"/>
          <w:bCs/>
          <w:iCs/>
        </w:rPr>
        <w:t xml:space="preserve"> </w:t>
      </w:r>
      <w:r w:rsidR="00C8430D" w:rsidRPr="00106CC3">
        <w:rPr>
          <w:rFonts w:cstheme="minorHAnsi"/>
          <w:bCs/>
          <w:iCs/>
        </w:rPr>
        <w:t xml:space="preserve"> </w:t>
      </w:r>
      <w:r w:rsidR="00AB32C8" w:rsidRPr="00106CC3">
        <w:rPr>
          <w:rFonts w:cstheme="minorHAnsi"/>
          <w:bCs/>
          <w:iCs/>
        </w:rPr>
        <w:t xml:space="preserve">Theatreview </w:t>
      </w:r>
      <w:r w:rsidR="00DE1FF9" w:rsidRPr="00106CC3">
        <w:rPr>
          <w:rFonts w:cstheme="minorHAnsi"/>
          <w:bCs/>
          <w:iCs/>
        </w:rPr>
        <w:t xml:space="preserve">too </w:t>
      </w:r>
      <w:r w:rsidR="00AF167F" w:rsidRPr="00106CC3">
        <w:rPr>
          <w:rFonts w:cstheme="minorHAnsi"/>
          <w:bCs/>
          <w:iCs/>
        </w:rPr>
        <w:t xml:space="preserve">found resources </w:t>
      </w:r>
      <w:r w:rsidR="00DE1FF9" w:rsidRPr="00106CC3">
        <w:rPr>
          <w:rFonts w:cstheme="minorHAnsi"/>
          <w:bCs/>
          <w:iCs/>
        </w:rPr>
        <w:t xml:space="preserve">with donations, </w:t>
      </w:r>
      <w:r w:rsidR="00106CC3" w:rsidRPr="00106CC3">
        <w:rPr>
          <w:rFonts w:cstheme="minorHAnsi"/>
          <w:bCs/>
          <w:iCs/>
        </w:rPr>
        <w:t xml:space="preserve">some </w:t>
      </w:r>
      <w:r w:rsidR="00DE1FF9" w:rsidRPr="00106CC3">
        <w:rPr>
          <w:rFonts w:cstheme="minorHAnsi"/>
          <w:bCs/>
          <w:iCs/>
        </w:rPr>
        <w:t xml:space="preserve">grants and an abundance of good will </w:t>
      </w:r>
      <w:r w:rsidR="00AF167F" w:rsidRPr="00106CC3">
        <w:rPr>
          <w:rFonts w:cstheme="minorHAnsi"/>
          <w:bCs/>
          <w:iCs/>
        </w:rPr>
        <w:t xml:space="preserve">to </w:t>
      </w:r>
      <w:r w:rsidR="00AB32C8" w:rsidRPr="00106CC3">
        <w:rPr>
          <w:rFonts w:cstheme="minorHAnsi"/>
          <w:bCs/>
          <w:iCs/>
        </w:rPr>
        <w:t xml:space="preserve">support </w:t>
      </w:r>
      <w:r w:rsidR="00106CC3" w:rsidRPr="00106CC3">
        <w:rPr>
          <w:rFonts w:cstheme="minorHAnsi"/>
          <w:bCs/>
          <w:iCs/>
        </w:rPr>
        <w:t>practitioners</w:t>
      </w:r>
      <w:r w:rsidR="00AB32C8" w:rsidRPr="00106CC3">
        <w:rPr>
          <w:rFonts w:cstheme="minorHAnsi"/>
          <w:bCs/>
          <w:iCs/>
        </w:rPr>
        <w:t xml:space="preserve"> and productions by continuing to review, celebrate and record </w:t>
      </w:r>
      <w:r w:rsidR="00845B95" w:rsidRPr="00106CC3">
        <w:rPr>
          <w:rFonts w:cstheme="minorHAnsi"/>
          <w:bCs/>
          <w:iCs/>
        </w:rPr>
        <w:t>the work and visions</w:t>
      </w:r>
      <w:r w:rsidR="007433BF" w:rsidRPr="00106CC3">
        <w:rPr>
          <w:rFonts w:cstheme="minorHAnsi"/>
          <w:bCs/>
          <w:iCs/>
        </w:rPr>
        <w:t xml:space="preserve"> which </w:t>
      </w:r>
      <w:r w:rsidR="002450D5">
        <w:rPr>
          <w:rFonts w:cstheme="minorHAnsi"/>
          <w:bCs/>
          <w:iCs/>
        </w:rPr>
        <w:t>reached the stage or online</w:t>
      </w:r>
      <w:r w:rsidR="00845B95" w:rsidRPr="00106CC3">
        <w:rPr>
          <w:rFonts w:cstheme="minorHAnsi"/>
          <w:bCs/>
          <w:iCs/>
        </w:rPr>
        <w:t>,</w:t>
      </w:r>
      <w:r w:rsidR="00C8430D" w:rsidRPr="00106CC3">
        <w:rPr>
          <w:rFonts w:cstheme="minorHAnsi"/>
          <w:bCs/>
          <w:iCs/>
        </w:rPr>
        <w:t xml:space="preserve"> </w:t>
      </w:r>
      <w:r w:rsidR="00845B95" w:rsidRPr="00106CC3">
        <w:rPr>
          <w:rFonts w:cstheme="minorHAnsi"/>
          <w:bCs/>
          <w:iCs/>
        </w:rPr>
        <w:t xml:space="preserve">and </w:t>
      </w:r>
      <w:r w:rsidR="00BC4BFB" w:rsidRPr="00106CC3">
        <w:rPr>
          <w:rFonts w:cstheme="minorHAnsi"/>
        </w:rPr>
        <w:t>to give p</w:t>
      </w:r>
      <w:r w:rsidR="00097AB5">
        <w:rPr>
          <w:rFonts w:cstheme="minorHAnsi"/>
        </w:rPr>
        <w:t>rospective</w:t>
      </w:r>
      <w:r w:rsidR="00BC4BFB" w:rsidRPr="00106CC3">
        <w:rPr>
          <w:rFonts w:cstheme="minorHAnsi"/>
        </w:rPr>
        <w:t xml:space="preserve"> audiences context and inspiration</w:t>
      </w:r>
      <w:r w:rsidR="00845B95" w:rsidRPr="0009241E">
        <w:rPr>
          <w:rFonts w:cstheme="minorHAnsi"/>
          <w:highlight w:val="yellow"/>
        </w:rPr>
        <w:t>.</w:t>
      </w:r>
      <w:r w:rsidR="00BD5089">
        <w:rPr>
          <w:rFonts w:cstheme="minorHAnsi"/>
        </w:rPr>
        <w:t xml:space="preserve">  </w:t>
      </w:r>
      <w:r w:rsidR="00990A56">
        <w:rPr>
          <w:rFonts w:cstheme="minorHAnsi"/>
        </w:rPr>
        <w:t xml:space="preserve">The archive continued to grow.  A depth of talent among voluntary reviewers became obvious </w:t>
      </w:r>
      <w:r w:rsidR="009F7AA0">
        <w:rPr>
          <w:rFonts w:cstheme="minorHAnsi"/>
        </w:rPr>
        <w:t>when</w:t>
      </w:r>
      <w:r w:rsidR="00990A56">
        <w:rPr>
          <w:rFonts w:cstheme="minorHAnsi"/>
        </w:rPr>
        <w:t xml:space="preserve"> </w:t>
      </w:r>
      <w:r w:rsidR="00990A56" w:rsidRPr="00990A56">
        <w:rPr>
          <w:rFonts w:cstheme="minorHAnsi"/>
        </w:rPr>
        <w:t xml:space="preserve">cancellations, postponements and </w:t>
      </w:r>
      <w:r w:rsidR="00B022EF">
        <w:rPr>
          <w:rFonts w:cstheme="minorHAnsi"/>
        </w:rPr>
        <w:t xml:space="preserve">COVID </w:t>
      </w:r>
      <w:r w:rsidR="00990A56" w:rsidRPr="00990A56">
        <w:rPr>
          <w:rFonts w:cstheme="minorHAnsi"/>
        </w:rPr>
        <w:t>self-isolations played havoc with reviewing schedule</w:t>
      </w:r>
      <w:r w:rsidR="00451916">
        <w:rPr>
          <w:rFonts w:cstheme="minorHAnsi"/>
        </w:rPr>
        <w:t>s</w:t>
      </w:r>
      <w:r w:rsidR="00990A56">
        <w:rPr>
          <w:rFonts w:cstheme="minorHAnsi"/>
        </w:rPr>
        <w:t xml:space="preserve"> and still </w:t>
      </w:r>
      <w:r w:rsidR="009F7AA0">
        <w:rPr>
          <w:rFonts w:cstheme="minorHAnsi"/>
        </w:rPr>
        <w:t xml:space="preserve">most </w:t>
      </w:r>
      <w:r w:rsidR="00990A56">
        <w:rPr>
          <w:rFonts w:cstheme="minorHAnsi"/>
        </w:rPr>
        <w:t xml:space="preserve">productions were reviewed.  </w:t>
      </w:r>
      <w:r w:rsidR="00BC4BFB">
        <w:rPr>
          <w:rFonts w:cstheme="minorHAnsi"/>
        </w:rPr>
        <w:t xml:space="preserve">Theatreview </w:t>
      </w:r>
      <w:r w:rsidR="00490130">
        <w:rPr>
          <w:rFonts w:cstheme="minorHAnsi"/>
        </w:rPr>
        <w:t xml:space="preserve">also </w:t>
      </w:r>
      <w:r w:rsidR="00BC4BFB">
        <w:rPr>
          <w:rFonts w:cstheme="minorHAnsi"/>
        </w:rPr>
        <w:t xml:space="preserve">took time to reflect and plan.  </w:t>
      </w:r>
      <w:r w:rsidR="0071262A">
        <w:rPr>
          <w:rFonts w:cstheme="minorHAnsi"/>
        </w:rPr>
        <w:t xml:space="preserve">Sustainable funding was and is a major issue.  </w:t>
      </w:r>
      <w:r w:rsidR="00352898">
        <w:rPr>
          <w:rFonts w:cstheme="minorHAnsi"/>
        </w:rPr>
        <w:t>R</w:t>
      </w:r>
      <w:r w:rsidR="00A83023">
        <w:rPr>
          <w:rFonts w:cstheme="minorHAnsi"/>
        </w:rPr>
        <w:t>efresh</w:t>
      </w:r>
      <w:r w:rsidR="00352898">
        <w:rPr>
          <w:rFonts w:cstheme="minorHAnsi"/>
        </w:rPr>
        <w:t>ing</w:t>
      </w:r>
      <w:r w:rsidR="00A83023">
        <w:rPr>
          <w:rFonts w:cstheme="minorHAnsi"/>
        </w:rPr>
        <w:t xml:space="preserve"> and redesign</w:t>
      </w:r>
      <w:r w:rsidR="00352898">
        <w:rPr>
          <w:rFonts w:cstheme="minorHAnsi"/>
        </w:rPr>
        <w:t>ing</w:t>
      </w:r>
      <w:r w:rsidR="00A83023">
        <w:rPr>
          <w:rFonts w:cstheme="minorHAnsi"/>
        </w:rPr>
        <w:t xml:space="preserve"> the website</w:t>
      </w:r>
      <w:r w:rsidR="00973544">
        <w:rPr>
          <w:rFonts w:cstheme="minorHAnsi"/>
        </w:rPr>
        <w:t xml:space="preserve">, when funding for it is obtained, </w:t>
      </w:r>
      <w:r w:rsidR="00352898">
        <w:rPr>
          <w:rFonts w:cstheme="minorHAnsi"/>
        </w:rPr>
        <w:t>is scheduled for 2022-23</w:t>
      </w:r>
      <w:r w:rsidR="00A83023">
        <w:rPr>
          <w:rFonts w:cstheme="minorHAnsi"/>
        </w:rPr>
        <w:t>.</w:t>
      </w:r>
    </w:p>
    <w:p w14:paraId="03CA78FC" w14:textId="77777777" w:rsidR="000C4A5E" w:rsidRPr="001E07FF" w:rsidRDefault="000C4A5E" w:rsidP="00667DE9">
      <w:pPr>
        <w:spacing w:after="0"/>
        <w:rPr>
          <w:color w:val="A6A6A6" w:themeColor="background1" w:themeShade="A6"/>
        </w:rPr>
      </w:pPr>
    </w:p>
    <w:p w14:paraId="6EACAE51" w14:textId="233D5B02" w:rsidR="001E07FF" w:rsidRDefault="000C4A5E" w:rsidP="00B022EF">
      <w:pPr>
        <w:pStyle w:val="Heading4"/>
        <w:rPr>
          <w:rFonts w:eastAsia="Calibri"/>
          <w:sz w:val="36"/>
          <w:szCs w:val="36"/>
        </w:rPr>
      </w:pPr>
      <w:r w:rsidRPr="000C4A5E">
        <w:rPr>
          <w:rFonts w:eastAsia="Calibri"/>
          <w:sz w:val="36"/>
          <w:szCs w:val="36"/>
        </w:rPr>
        <w:t>S</w:t>
      </w:r>
      <w:r w:rsidR="00530394">
        <w:rPr>
          <w:rFonts w:eastAsia="Calibri"/>
          <w:sz w:val="36"/>
          <w:szCs w:val="36"/>
        </w:rPr>
        <w:t>ome of the s</w:t>
      </w:r>
      <w:r w:rsidRPr="000C4A5E">
        <w:rPr>
          <w:rFonts w:eastAsia="Calibri"/>
          <w:sz w:val="36"/>
          <w:szCs w:val="36"/>
        </w:rPr>
        <w:t>tatistics</w:t>
      </w:r>
    </w:p>
    <w:p w14:paraId="03D92D7A" w14:textId="77777777" w:rsidR="004B50E2" w:rsidRPr="004B50E2" w:rsidRDefault="004B50E2" w:rsidP="004B50E2">
      <w:pPr>
        <w:spacing w:after="0"/>
      </w:pPr>
    </w:p>
    <w:tbl>
      <w:tblPr>
        <w:tblStyle w:val="TableGrid"/>
        <w:tblW w:w="6090" w:type="dxa"/>
        <w:jc w:val="center"/>
        <w:tblInd w:w="0" w:type="dxa"/>
        <w:tblLayout w:type="fixed"/>
        <w:tblLook w:val="04A0" w:firstRow="1" w:lastRow="0" w:firstColumn="1" w:lastColumn="0" w:noHBand="0" w:noVBand="1"/>
      </w:tblPr>
      <w:tblGrid>
        <w:gridCol w:w="2518"/>
        <w:gridCol w:w="3572"/>
      </w:tblGrid>
      <w:tr w:rsidR="007B4C81" w:rsidRPr="007B4C81" w14:paraId="07272DF2"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A848B1" w14:textId="77777777" w:rsidR="001E07FF" w:rsidRPr="007B4C81" w:rsidRDefault="001E07FF">
            <w:pPr>
              <w:spacing w:before="60" w:after="60" w:line="240" w:lineRule="auto"/>
              <w:rPr>
                <w:rFonts w:asciiTheme="minorHAnsi" w:hAnsiTheme="minorHAnsi" w:cstheme="minorHAnsi"/>
                <w:lang w:val="en-US"/>
              </w:rPr>
            </w:pPr>
          </w:p>
        </w:tc>
        <w:tc>
          <w:tcPr>
            <w:tcW w:w="357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F9A476" w14:textId="04F60EF8" w:rsidR="001E07FF" w:rsidRPr="007B4C81" w:rsidRDefault="001E07FF">
            <w:pPr>
              <w:spacing w:before="60" w:after="60" w:line="240" w:lineRule="auto"/>
              <w:jc w:val="center"/>
              <w:rPr>
                <w:rFonts w:asciiTheme="minorHAnsi" w:hAnsiTheme="minorHAnsi" w:cstheme="minorHAnsi"/>
                <w:b w:val="0"/>
                <w:lang w:val="en-US"/>
              </w:rPr>
            </w:pPr>
            <w:bookmarkStart w:id="0" w:name="_Hlk66540857"/>
            <w:r w:rsidRPr="007B4C81">
              <w:rPr>
                <w:rFonts w:asciiTheme="minorHAnsi" w:hAnsiTheme="minorHAnsi" w:cstheme="minorHAnsi"/>
                <w:b w:val="0"/>
                <w:lang w:val="en-US"/>
              </w:rPr>
              <w:t>1 January - 31 December 202</w:t>
            </w:r>
            <w:bookmarkEnd w:id="0"/>
            <w:r w:rsidR="007B4C81">
              <w:rPr>
                <w:rFonts w:asciiTheme="minorHAnsi" w:hAnsiTheme="minorHAnsi" w:cstheme="minorHAnsi"/>
                <w:b w:val="0"/>
                <w:lang w:val="en-US"/>
              </w:rPr>
              <w:t>1</w:t>
            </w:r>
          </w:p>
        </w:tc>
      </w:tr>
      <w:tr w:rsidR="007B4C81" w:rsidRPr="007B4C81" w14:paraId="241D41C6"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051A3FAF"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Unique visitors</w:t>
            </w:r>
          </w:p>
        </w:tc>
        <w:tc>
          <w:tcPr>
            <w:tcW w:w="3572" w:type="dxa"/>
            <w:tcBorders>
              <w:top w:val="single" w:sz="4" w:space="0" w:color="auto"/>
              <w:left w:val="single" w:sz="4" w:space="0" w:color="auto"/>
              <w:bottom w:val="single" w:sz="4" w:space="0" w:color="auto"/>
              <w:right w:val="single" w:sz="4" w:space="0" w:color="auto"/>
            </w:tcBorders>
            <w:hideMark/>
          </w:tcPr>
          <w:p w14:paraId="5B09DAD7" w14:textId="40AAC271"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92,456</w:t>
            </w:r>
          </w:p>
        </w:tc>
      </w:tr>
      <w:tr w:rsidR="007B4C81" w:rsidRPr="007B4C81" w14:paraId="60A58972"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11711057"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Number of visits</w:t>
            </w:r>
          </w:p>
        </w:tc>
        <w:tc>
          <w:tcPr>
            <w:tcW w:w="3572" w:type="dxa"/>
            <w:tcBorders>
              <w:top w:val="single" w:sz="4" w:space="0" w:color="auto"/>
              <w:left w:val="single" w:sz="4" w:space="0" w:color="auto"/>
              <w:bottom w:val="single" w:sz="4" w:space="0" w:color="auto"/>
              <w:right w:val="single" w:sz="4" w:space="0" w:color="auto"/>
            </w:tcBorders>
            <w:hideMark/>
          </w:tcPr>
          <w:p w14:paraId="398C910E" w14:textId="57BEEC13"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128,938</w:t>
            </w:r>
          </w:p>
        </w:tc>
      </w:tr>
      <w:tr w:rsidR="007B4C81" w:rsidRPr="007B4C81" w14:paraId="2D438667"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4996BF91"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Total Pages viewed</w:t>
            </w:r>
          </w:p>
        </w:tc>
        <w:tc>
          <w:tcPr>
            <w:tcW w:w="3572" w:type="dxa"/>
            <w:tcBorders>
              <w:top w:val="single" w:sz="4" w:space="0" w:color="auto"/>
              <w:left w:val="single" w:sz="4" w:space="0" w:color="auto"/>
              <w:bottom w:val="single" w:sz="4" w:space="0" w:color="auto"/>
              <w:right w:val="single" w:sz="4" w:space="0" w:color="auto"/>
            </w:tcBorders>
            <w:hideMark/>
          </w:tcPr>
          <w:p w14:paraId="373FFFC2" w14:textId="2B803974"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212,129</w:t>
            </w:r>
          </w:p>
        </w:tc>
      </w:tr>
      <w:tr w:rsidR="007B4C81" w:rsidRPr="007B4C81" w14:paraId="63C0080D" w14:textId="77777777" w:rsidTr="00E0444B">
        <w:trPr>
          <w:trHeight w:val="335"/>
          <w:jc w:val="center"/>
        </w:trPr>
        <w:tc>
          <w:tcPr>
            <w:tcW w:w="2518" w:type="dxa"/>
            <w:tcBorders>
              <w:top w:val="single" w:sz="4" w:space="0" w:color="auto"/>
              <w:left w:val="single" w:sz="4" w:space="0" w:color="auto"/>
              <w:bottom w:val="single" w:sz="4" w:space="0" w:color="auto"/>
              <w:right w:val="single" w:sz="4" w:space="0" w:color="auto"/>
            </w:tcBorders>
            <w:hideMark/>
          </w:tcPr>
          <w:p w14:paraId="1287D77E" w14:textId="77777777" w:rsidR="001E07FF" w:rsidRPr="007B4C81" w:rsidRDefault="001E07FF">
            <w:pPr>
              <w:spacing w:before="60" w:after="60" w:line="240" w:lineRule="auto"/>
              <w:rPr>
                <w:rFonts w:asciiTheme="minorHAnsi" w:hAnsiTheme="minorHAnsi" w:cstheme="minorHAnsi"/>
                <w:b w:val="0"/>
                <w:bCs/>
                <w:lang w:val="en-US"/>
              </w:rPr>
            </w:pPr>
            <w:r w:rsidRPr="007B4C81">
              <w:rPr>
                <w:rFonts w:asciiTheme="minorHAnsi" w:hAnsiTheme="minorHAnsi" w:cstheme="minorHAnsi"/>
                <w:b w:val="0"/>
                <w:bCs/>
                <w:lang w:val="en-US"/>
              </w:rPr>
              <w:t>From:</w:t>
            </w:r>
          </w:p>
        </w:tc>
        <w:tc>
          <w:tcPr>
            <w:tcW w:w="3572" w:type="dxa"/>
            <w:tcBorders>
              <w:top w:val="single" w:sz="4" w:space="0" w:color="auto"/>
              <w:left w:val="single" w:sz="4" w:space="0" w:color="auto"/>
              <w:bottom w:val="single" w:sz="4" w:space="0" w:color="auto"/>
              <w:right w:val="single" w:sz="4" w:space="0" w:color="auto"/>
            </w:tcBorders>
          </w:tcPr>
          <w:p w14:paraId="0062A77D" w14:textId="77777777" w:rsidR="001E07FF" w:rsidRPr="007B4C81" w:rsidRDefault="001E07FF">
            <w:pPr>
              <w:spacing w:before="60" w:after="60" w:line="240" w:lineRule="auto"/>
              <w:jc w:val="center"/>
              <w:rPr>
                <w:rFonts w:asciiTheme="minorHAnsi" w:hAnsiTheme="minorHAnsi" w:cstheme="minorHAnsi"/>
                <w:b w:val="0"/>
                <w:lang w:val="en-US"/>
              </w:rPr>
            </w:pPr>
          </w:p>
        </w:tc>
      </w:tr>
      <w:tr w:rsidR="007B4C81" w:rsidRPr="007B4C81" w14:paraId="48756BF2" w14:textId="77777777" w:rsidTr="00E0444B">
        <w:trPr>
          <w:trHeight w:val="335"/>
          <w:jc w:val="center"/>
        </w:trPr>
        <w:tc>
          <w:tcPr>
            <w:tcW w:w="2518" w:type="dxa"/>
            <w:tcBorders>
              <w:top w:val="single" w:sz="4" w:space="0" w:color="auto"/>
              <w:left w:val="single" w:sz="4" w:space="0" w:color="auto"/>
              <w:bottom w:val="single" w:sz="4" w:space="0" w:color="auto"/>
              <w:right w:val="single" w:sz="4" w:space="0" w:color="auto"/>
            </w:tcBorders>
            <w:hideMark/>
          </w:tcPr>
          <w:p w14:paraId="5901C9EB" w14:textId="77777777" w:rsidR="001E07FF" w:rsidRPr="007B4C81" w:rsidRDefault="001E07FF">
            <w:pPr>
              <w:spacing w:before="60" w:after="60" w:line="240" w:lineRule="auto"/>
              <w:rPr>
                <w:rFonts w:asciiTheme="minorHAnsi" w:hAnsiTheme="minorHAnsi" w:cstheme="minorHAnsi"/>
                <w:lang w:val="en-US"/>
              </w:rPr>
            </w:pPr>
            <w:r w:rsidRPr="007B4C81">
              <w:rPr>
                <w:rFonts w:asciiTheme="minorHAnsi" w:hAnsiTheme="minorHAnsi" w:cstheme="minorHAnsi"/>
                <w:b w:val="0"/>
                <w:lang w:val="en-US"/>
              </w:rPr>
              <w:t xml:space="preserve"> - New Zealand</w:t>
            </w:r>
          </w:p>
        </w:tc>
        <w:tc>
          <w:tcPr>
            <w:tcW w:w="3572" w:type="dxa"/>
            <w:tcBorders>
              <w:top w:val="single" w:sz="4" w:space="0" w:color="auto"/>
              <w:left w:val="single" w:sz="4" w:space="0" w:color="auto"/>
              <w:bottom w:val="single" w:sz="4" w:space="0" w:color="auto"/>
              <w:right w:val="single" w:sz="4" w:space="0" w:color="auto"/>
            </w:tcBorders>
            <w:hideMark/>
          </w:tcPr>
          <w:p w14:paraId="34AC1384" w14:textId="47E30949"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64.22</w:t>
            </w:r>
            <w:r w:rsidR="001E07FF" w:rsidRPr="007B4C81">
              <w:rPr>
                <w:rFonts w:asciiTheme="minorHAnsi" w:hAnsiTheme="minorHAnsi" w:cstheme="minorHAnsi"/>
                <w:b w:val="0"/>
                <w:lang w:val="en-US"/>
              </w:rPr>
              <w:t>%</w:t>
            </w:r>
          </w:p>
        </w:tc>
      </w:tr>
      <w:tr w:rsidR="007B4C81" w:rsidRPr="007B4C81" w14:paraId="60E3E180"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5BBAF735"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and internationally:</w:t>
            </w:r>
          </w:p>
        </w:tc>
        <w:tc>
          <w:tcPr>
            <w:tcW w:w="3572" w:type="dxa"/>
            <w:tcBorders>
              <w:top w:val="single" w:sz="4" w:space="0" w:color="auto"/>
              <w:left w:val="single" w:sz="4" w:space="0" w:color="auto"/>
              <w:bottom w:val="single" w:sz="4" w:space="0" w:color="auto"/>
              <w:right w:val="single" w:sz="4" w:space="0" w:color="auto"/>
            </w:tcBorders>
          </w:tcPr>
          <w:p w14:paraId="2EAA935B" w14:textId="77777777" w:rsidR="001E07FF" w:rsidRPr="007B4C81" w:rsidRDefault="001E07FF">
            <w:pPr>
              <w:spacing w:before="60" w:after="60" w:line="240" w:lineRule="auto"/>
              <w:jc w:val="center"/>
              <w:rPr>
                <w:rFonts w:asciiTheme="minorHAnsi" w:hAnsiTheme="minorHAnsi" w:cstheme="minorHAnsi"/>
                <w:b w:val="0"/>
                <w:lang w:val="en-US"/>
              </w:rPr>
            </w:pPr>
          </w:p>
        </w:tc>
      </w:tr>
      <w:tr w:rsidR="007B4C81" w:rsidRPr="007B4C81" w14:paraId="79B4589A"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214EC45E"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 xml:space="preserve"> - USA</w:t>
            </w:r>
          </w:p>
        </w:tc>
        <w:tc>
          <w:tcPr>
            <w:tcW w:w="3572" w:type="dxa"/>
            <w:tcBorders>
              <w:top w:val="single" w:sz="4" w:space="0" w:color="auto"/>
              <w:left w:val="single" w:sz="4" w:space="0" w:color="auto"/>
              <w:bottom w:val="single" w:sz="4" w:space="0" w:color="auto"/>
              <w:right w:val="single" w:sz="4" w:space="0" w:color="auto"/>
            </w:tcBorders>
            <w:hideMark/>
          </w:tcPr>
          <w:p w14:paraId="65D00DF5" w14:textId="38F2FD1F"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9.20</w:t>
            </w:r>
            <w:r w:rsidR="001E07FF" w:rsidRPr="007B4C81">
              <w:rPr>
                <w:rFonts w:asciiTheme="minorHAnsi" w:hAnsiTheme="minorHAnsi" w:cstheme="minorHAnsi"/>
                <w:b w:val="0"/>
                <w:lang w:val="en-US"/>
              </w:rPr>
              <w:t>%</w:t>
            </w:r>
          </w:p>
        </w:tc>
      </w:tr>
      <w:tr w:rsidR="007B4C81" w:rsidRPr="007B4C81" w14:paraId="172804A3"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16B7FBAB"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 xml:space="preserve"> - Australia</w:t>
            </w:r>
          </w:p>
        </w:tc>
        <w:tc>
          <w:tcPr>
            <w:tcW w:w="3572" w:type="dxa"/>
            <w:tcBorders>
              <w:top w:val="single" w:sz="4" w:space="0" w:color="auto"/>
              <w:left w:val="single" w:sz="4" w:space="0" w:color="auto"/>
              <w:bottom w:val="single" w:sz="4" w:space="0" w:color="auto"/>
              <w:right w:val="single" w:sz="4" w:space="0" w:color="auto"/>
            </w:tcBorders>
            <w:hideMark/>
          </w:tcPr>
          <w:p w14:paraId="2B3E7C01" w14:textId="4B4194E2" w:rsidR="001E07FF" w:rsidRPr="007B4C81" w:rsidRDefault="001E07FF">
            <w:pPr>
              <w:spacing w:before="60" w:after="60" w:line="240" w:lineRule="auto"/>
              <w:jc w:val="center"/>
              <w:rPr>
                <w:rFonts w:asciiTheme="minorHAnsi" w:hAnsiTheme="minorHAnsi" w:cstheme="minorHAnsi"/>
                <w:b w:val="0"/>
                <w:lang w:val="en-US"/>
              </w:rPr>
            </w:pPr>
            <w:r w:rsidRPr="007B4C81">
              <w:rPr>
                <w:rFonts w:asciiTheme="minorHAnsi" w:hAnsiTheme="minorHAnsi" w:cstheme="minorHAnsi"/>
                <w:b w:val="0"/>
                <w:lang w:val="en-US"/>
              </w:rPr>
              <w:t>7.</w:t>
            </w:r>
            <w:r w:rsidR="00FD693F">
              <w:rPr>
                <w:rFonts w:asciiTheme="minorHAnsi" w:hAnsiTheme="minorHAnsi" w:cstheme="minorHAnsi"/>
                <w:b w:val="0"/>
                <w:lang w:val="en-US"/>
              </w:rPr>
              <w:t>38</w:t>
            </w:r>
            <w:r w:rsidRPr="007B4C81">
              <w:rPr>
                <w:rFonts w:asciiTheme="minorHAnsi" w:hAnsiTheme="minorHAnsi" w:cstheme="minorHAnsi"/>
                <w:b w:val="0"/>
                <w:lang w:val="en-US"/>
              </w:rPr>
              <w:t>%</w:t>
            </w:r>
          </w:p>
        </w:tc>
      </w:tr>
      <w:tr w:rsidR="007B4C81" w:rsidRPr="007B4C81" w14:paraId="453E7423"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7546A59F" w14:textId="02C16B0B" w:rsidR="001E07FF" w:rsidRPr="007B4C81" w:rsidRDefault="00CF0C95">
            <w:pPr>
              <w:spacing w:before="60" w:after="60" w:line="240" w:lineRule="auto"/>
              <w:rPr>
                <w:rFonts w:asciiTheme="minorHAnsi" w:hAnsiTheme="minorHAnsi" w:cstheme="minorHAnsi"/>
                <w:b w:val="0"/>
                <w:lang w:val="en-US"/>
              </w:rPr>
            </w:pPr>
            <w:r>
              <w:rPr>
                <w:rFonts w:asciiTheme="minorHAnsi" w:hAnsiTheme="minorHAnsi" w:cstheme="minorHAnsi"/>
                <w:b w:val="0"/>
                <w:lang w:val="en-US"/>
              </w:rPr>
              <w:t xml:space="preserve"> </w:t>
            </w:r>
            <w:r w:rsidR="001E07FF" w:rsidRPr="007B4C81">
              <w:rPr>
                <w:rFonts w:asciiTheme="minorHAnsi" w:hAnsiTheme="minorHAnsi" w:cstheme="minorHAnsi"/>
                <w:b w:val="0"/>
                <w:lang w:val="en-US"/>
              </w:rPr>
              <w:t>- UK</w:t>
            </w:r>
          </w:p>
        </w:tc>
        <w:tc>
          <w:tcPr>
            <w:tcW w:w="3572" w:type="dxa"/>
            <w:tcBorders>
              <w:top w:val="single" w:sz="4" w:space="0" w:color="auto"/>
              <w:left w:val="single" w:sz="4" w:space="0" w:color="auto"/>
              <w:bottom w:val="single" w:sz="4" w:space="0" w:color="auto"/>
              <w:right w:val="single" w:sz="4" w:space="0" w:color="auto"/>
            </w:tcBorders>
            <w:hideMark/>
          </w:tcPr>
          <w:p w14:paraId="324CBEBF" w14:textId="6E3A99D8" w:rsidR="001E07FF" w:rsidRPr="007B4C81" w:rsidRDefault="00FD693F">
            <w:pPr>
              <w:spacing w:before="60" w:after="60" w:line="240" w:lineRule="auto"/>
              <w:jc w:val="center"/>
              <w:rPr>
                <w:rFonts w:asciiTheme="minorHAnsi" w:hAnsiTheme="minorHAnsi" w:cstheme="minorHAnsi"/>
                <w:b w:val="0"/>
                <w:lang w:val="en-US"/>
              </w:rPr>
            </w:pPr>
            <w:r>
              <w:rPr>
                <w:rFonts w:asciiTheme="minorHAnsi" w:hAnsiTheme="minorHAnsi" w:cstheme="minorHAnsi"/>
                <w:b w:val="0"/>
                <w:lang w:val="en-US"/>
              </w:rPr>
              <w:t>4.79</w:t>
            </w:r>
            <w:r w:rsidR="001E07FF" w:rsidRPr="007B4C81">
              <w:rPr>
                <w:rFonts w:asciiTheme="minorHAnsi" w:hAnsiTheme="minorHAnsi" w:cstheme="minorHAnsi"/>
                <w:b w:val="0"/>
                <w:lang w:val="en-US"/>
              </w:rPr>
              <w:t>%</w:t>
            </w:r>
          </w:p>
        </w:tc>
      </w:tr>
      <w:tr w:rsidR="007B4C81" w:rsidRPr="007B4C81" w14:paraId="307AA9BA"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07FA38E3"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 xml:space="preserve"> - India</w:t>
            </w:r>
          </w:p>
        </w:tc>
        <w:tc>
          <w:tcPr>
            <w:tcW w:w="3572" w:type="dxa"/>
            <w:tcBorders>
              <w:top w:val="single" w:sz="4" w:space="0" w:color="auto"/>
              <w:left w:val="single" w:sz="4" w:space="0" w:color="auto"/>
              <w:bottom w:val="single" w:sz="4" w:space="0" w:color="auto"/>
              <w:right w:val="single" w:sz="4" w:space="0" w:color="auto"/>
            </w:tcBorders>
            <w:hideMark/>
          </w:tcPr>
          <w:p w14:paraId="25650B99" w14:textId="7C683181" w:rsidR="001E07FF" w:rsidRPr="007B4C81" w:rsidRDefault="001E07FF">
            <w:pPr>
              <w:spacing w:before="60" w:after="60" w:line="240" w:lineRule="auto"/>
              <w:jc w:val="center"/>
              <w:rPr>
                <w:rFonts w:asciiTheme="minorHAnsi" w:hAnsiTheme="minorHAnsi" w:cstheme="minorHAnsi"/>
                <w:b w:val="0"/>
                <w:lang w:val="en-US"/>
              </w:rPr>
            </w:pPr>
            <w:r w:rsidRPr="007B4C81">
              <w:rPr>
                <w:rFonts w:asciiTheme="minorHAnsi" w:hAnsiTheme="minorHAnsi" w:cstheme="minorHAnsi"/>
                <w:b w:val="0"/>
                <w:lang w:val="en-US"/>
              </w:rPr>
              <w:t>2.</w:t>
            </w:r>
            <w:r w:rsidR="00FD693F">
              <w:rPr>
                <w:rFonts w:asciiTheme="minorHAnsi" w:hAnsiTheme="minorHAnsi" w:cstheme="minorHAnsi"/>
                <w:b w:val="0"/>
                <w:lang w:val="en-US"/>
              </w:rPr>
              <w:t>14</w:t>
            </w:r>
            <w:r w:rsidRPr="007B4C81">
              <w:rPr>
                <w:rFonts w:asciiTheme="minorHAnsi" w:hAnsiTheme="minorHAnsi" w:cstheme="minorHAnsi"/>
                <w:b w:val="0"/>
                <w:lang w:val="en-US"/>
              </w:rPr>
              <w:t>%</w:t>
            </w:r>
          </w:p>
        </w:tc>
      </w:tr>
      <w:tr w:rsidR="007B4C81" w:rsidRPr="007B4C81" w14:paraId="5F6F7E33" w14:textId="77777777" w:rsidTr="00E0444B">
        <w:trPr>
          <w:jc w:val="center"/>
        </w:trPr>
        <w:tc>
          <w:tcPr>
            <w:tcW w:w="2518" w:type="dxa"/>
            <w:tcBorders>
              <w:top w:val="single" w:sz="4" w:space="0" w:color="auto"/>
              <w:left w:val="single" w:sz="4" w:space="0" w:color="auto"/>
              <w:bottom w:val="single" w:sz="4" w:space="0" w:color="auto"/>
              <w:right w:val="single" w:sz="4" w:space="0" w:color="auto"/>
            </w:tcBorders>
            <w:hideMark/>
          </w:tcPr>
          <w:p w14:paraId="6CCE0070" w14:textId="77777777" w:rsidR="001E07FF" w:rsidRPr="007B4C81" w:rsidRDefault="001E07FF">
            <w:pPr>
              <w:spacing w:before="60" w:after="60" w:line="240" w:lineRule="auto"/>
              <w:rPr>
                <w:rFonts w:asciiTheme="minorHAnsi" w:hAnsiTheme="minorHAnsi" w:cstheme="minorHAnsi"/>
                <w:b w:val="0"/>
                <w:lang w:val="en-US"/>
              </w:rPr>
            </w:pPr>
            <w:r w:rsidRPr="007B4C81">
              <w:rPr>
                <w:rFonts w:asciiTheme="minorHAnsi" w:hAnsiTheme="minorHAnsi" w:cstheme="minorHAnsi"/>
                <w:b w:val="0"/>
                <w:lang w:val="en-US"/>
              </w:rPr>
              <w:t xml:space="preserve"> - and others</w:t>
            </w:r>
          </w:p>
        </w:tc>
        <w:tc>
          <w:tcPr>
            <w:tcW w:w="3572" w:type="dxa"/>
            <w:tcBorders>
              <w:top w:val="single" w:sz="4" w:space="0" w:color="auto"/>
              <w:left w:val="single" w:sz="4" w:space="0" w:color="auto"/>
              <w:bottom w:val="single" w:sz="4" w:space="0" w:color="auto"/>
              <w:right w:val="single" w:sz="4" w:space="0" w:color="auto"/>
            </w:tcBorders>
            <w:hideMark/>
          </w:tcPr>
          <w:p w14:paraId="35F3A78C" w14:textId="7D1E7688" w:rsidR="001E07FF" w:rsidRPr="007B4C81" w:rsidRDefault="001E07FF">
            <w:pPr>
              <w:spacing w:before="60" w:after="60" w:line="240" w:lineRule="auto"/>
              <w:jc w:val="center"/>
              <w:rPr>
                <w:rFonts w:asciiTheme="minorHAnsi" w:hAnsiTheme="minorHAnsi" w:cstheme="minorHAnsi"/>
                <w:b w:val="0"/>
                <w:lang w:val="en-US"/>
              </w:rPr>
            </w:pPr>
            <w:r w:rsidRPr="007B4C81">
              <w:rPr>
                <w:rFonts w:asciiTheme="minorHAnsi" w:hAnsiTheme="minorHAnsi" w:cstheme="minorHAnsi"/>
                <w:b w:val="0"/>
                <w:lang w:val="en-US"/>
              </w:rPr>
              <w:t>1</w:t>
            </w:r>
            <w:r w:rsidR="00492E32">
              <w:rPr>
                <w:rFonts w:asciiTheme="minorHAnsi" w:hAnsiTheme="minorHAnsi" w:cstheme="minorHAnsi"/>
                <w:b w:val="0"/>
                <w:lang w:val="en-US"/>
              </w:rPr>
              <w:t>2</w:t>
            </w:r>
            <w:r w:rsidRPr="007B4C81">
              <w:rPr>
                <w:rFonts w:asciiTheme="minorHAnsi" w:hAnsiTheme="minorHAnsi" w:cstheme="minorHAnsi"/>
                <w:b w:val="0"/>
                <w:lang w:val="en-US"/>
              </w:rPr>
              <w:t>.</w:t>
            </w:r>
            <w:r w:rsidR="00492E32">
              <w:rPr>
                <w:rFonts w:asciiTheme="minorHAnsi" w:hAnsiTheme="minorHAnsi" w:cstheme="minorHAnsi"/>
                <w:b w:val="0"/>
                <w:lang w:val="en-US"/>
              </w:rPr>
              <w:t>27</w:t>
            </w:r>
            <w:r w:rsidRPr="007B4C81">
              <w:rPr>
                <w:rFonts w:asciiTheme="minorHAnsi" w:hAnsiTheme="minorHAnsi" w:cstheme="minorHAnsi"/>
                <w:b w:val="0"/>
                <w:lang w:val="en-US"/>
              </w:rPr>
              <w:t>%</w:t>
            </w:r>
          </w:p>
        </w:tc>
      </w:tr>
    </w:tbl>
    <w:p w14:paraId="5868E50B" w14:textId="77777777" w:rsidR="00AD60CA" w:rsidRDefault="00AD60CA" w:rsidP="00E0444B">
      <w:pPr>
        <w:pStyle w:val="Heading6"/>
        <w:spacing w:before="0"/>
        <w:rPr>
          <w:rFonts w:asciiTheme="minorHAnsi" w:eastAsia="Calibri" w:hAnsiTheme="minorHAnsi"/>
          <w:color w:val="auto"/>
        </w:rPr>
      </w:pPr>
    </w:p>
    <w:p w14:paraId="3DA49759" w14:textId="3BAF8AB4" w:rsidR="00E0444B" w:rsidRPr="004548C9" w:rsidRDefault="00E0444B" w:rsidP="00E0444B">
      <w:pPr>
        <w:pStyle w:val="Heading6"/>
        <w:spacing w:before="0"/>
        <w:rPr>
          <w:rFonts w:asciiTheme="minorHAnsi" w:eastAsia="Calibri" w:hAnsiTheme="minorHAnsi"/>
          <w:color w:val="auto"/>
          <w:sz w:val="36"/>
          <w:szCs w:val="36"/>
        </w:rPr>
      </w:pPr>
      <w:r w:rsidRPr="004548C9">
        <w:rPr>
          <w:rFonts w:asciiTheme="minorHAnsi" w:eastAsia="Calibri" w:hAnsiTheme="minorHAnsi"/>
          <w:color w:val="auto"/>
        </w:rPr>
        <w:t>Where the performances were during 2021:</w:t>
      </w:r>
    </w:p>
    <w:p w14:paraId="6E4F0480" w14:textId="77777777" w:rsidR="00E0444B" w:rsidRPr="001E07FF" w:rsidRDefault="00E0444B" w:rsidP="00E0444B">
      <w:pPr>
        <w:spacing w:after="120" w:line="240" w:lineRule="auto"/>
        <w:ind w:left="720"/>
        <w:rPr>
          <w:color w:val="A6A6A6" w:themeColor="background1" w:themeShade="A6"/>
          <w:lang w:val="en-US"/>
        </w:rPr>
      </w:pPr>
      <w:r w:rsidRPr="007B4222">
        <w:rPr>
          <w:b/>
          <w:lang w:val="en-US"/>
        </w:rPr>
        <w:t>North Island</w:t>
      </w:r>
      <w:r w:rsidRPr="007B4222">
        <w:rPr>
          <w:lang w:val="en-US"/>
        </w:rPr>
        <w:t xml:space="preserve">: </w:t>
      </w:r>
      <w:r>
        <w:rPr>
          <w:lang w:val="en-US"/>
        </w:rPr>
        <w:t xml:space="preserve">Whangarei (2), </w:t>
      </w:r>
      <w:r w:rsidRPr="007B4222">
        <w:rPr>
          <w:lang w:val="en-US"/>
        </w:rPr>
        <w:t>Auckland (39), Hamilton (3), Palmerston North (9), New Plymouth (2, Hawkes Bay and Gisborne (7) Wellington/Hutt/Porirua/Kapiti (238)</w:t>
      </w:r>
      <w:r>
        <w:rPr>
          <w:lang w:val="en-US"/>
        </w:rPr>
        <w:t>.</w:t>
      </w:r>
    </w:p>
    <w:p w14:paraId="686C942A" w14:textId="77777777" w:rsidR="00E0444B" w:rsidRPr="007B4222" w:rsidRDefault="00E0444B" w:rsidP="00E0444B">
      <w:pPr>
        <w:spacing w:after="120" w:line="240" w:lineRule="auto"/>
        <w:ind w:left="720"/>
      </w:pPr>
      <w:r w:rsidRPr="007B4222">
        <w:rPr>
          <w:b/>
          <w:lang w:val="en-US"/>
        </w:rPr>
        <w:t>South Island</w:t>
      </w:r>
      <w:r w:rsidRPr="007B4222">
        <w:rPr>
          <w:lang w:val="en-US"/>
        </w:rPr>
        <w:t xml:space="preserve">: Christchurch incl. </w:t>
      </w:r>
      <w:proofErr w:type="spellStart"/>
      <w:r w:rsidRPr="007B4222">
        <w:rPr>
          <w:lang w:val="en-US"/>
        </w:rPr>
        <w:t>Lyttelton</w:t>
      </w:r>
      <w:proofErr w:type="spellEnd"/>
      <w:r w:rsidRPr="007B4222">
        <w:rPr>
          <w:lang w:val="en-US"/>
        </w:rPr>
        <w:t xml:space="preserve"> (18), Dunedin (7), Nelson/Blenheim (3),</w:t>
      </w:r>
      <w:r w:rsidRPr="007B4222">
        <w:t xml:space="preserve"> Wanaka/Hawea/Q-town/A-town (1</w:t>
      </w:r>
      <w:r>
        <w:t>).</w:t>
      </w:r>
    </w:p>
    <w:p w14:paraId="287CFE3A" w14:textId="256E19C1" w:rsidR="00E0444B" w:rsidRDefault="00E0444B" w:rsidP="00E0444B">
      <w:pPr>
        <w:spacing w:after="120" w:line="240" w:lineRule="auto"/>
        <w:ind w:left="720"/>
        <w:rPr>
          <w:lang w:val="en-US"/>
        </w:rPr>
      </w:pPr>
      <w:r w:rsidRPr="007B4222">
        <w:rPr>
          <w:b/>
          <w:lang w:val="en-US"/>
        </w:rPr>
        <w:t xml:space="preserve">Global </w:t>
      </w:r>
      <w:r w:rsidRPr="007B4222">
        <w:rPr>
          <w:lang w:val="en-US"/>
        </w:rPr>
        <w:t>(2)</w:t>
      </w:r>
    </w:p>
    <w:p w14:paraId="0BDEBCD6" w14:textId="77777777" w:rsidR="00BD5089" w:rsidRPr="007B4222" w:rsidRDefault="00BD5089" w:rsidP="00BD5089">
      <w:pPr>
        <w:spacing w:after="0" w:line="240" w:lineRule="auto"/>
        <w:ind w:left="720"/>
        <w:rPr>
          <w:b/>
          <w:bCs/>
          <w:lang w:val="en-US"/>
        </w:rPr>
      </w:pPr>
    </w:p>
    <w:p w14:paraId="25D7FC8A" w14:textId="5B3F8544" w:rsidR="004548C9" w:rsidRPr="00AD60CA" w:rsidRDefault="00D77E19" w:rsidP="00AB74A7">
      <w:pPr>
        <w:pStyle w:val="Heading4"/>
        <w:spacing w:before="0"/>
        <w:jc w:val="both"/>
        <w:rPr>
          <w:rFonts w:asciiTheme="minorHAnsi" w:eastAsia="Calibri" w:hAnsiTheme="minorHAnsi"/>
          <w:bCs/>
          <w:color w:val="auto"/>
        </w:rPr>
      </w:pPr>
      <w:r w:rsidRPr="00BD5089">
        <w:rPr>
          <w:rFonts w:asciiTheme="minorHAnsi" w:eastAsia="Calibri" w:hAnsiTheme="minorHAnsi"/>
          <w:bCs/>
          <w:i/>
          <w:iCs/>
          <w:color w:val="auto"/>
          <w:sz w:val="22"/>
          <w:szCs w:val="22"/>
        </w:rPr>
        <w:t>A</w:t>
      </w:r>
      <w:r w:rsidR="00AD60CA" w:rsidRPr="00BD5089">
        <w:rPr>
          <w:rFonts w:asciiTheme="minorHAnsi" w:eastAsia="Calibri" w:hAnsiTheme="minorHAnsi"/>
          <w:bCs/>
          <w:i/>
          <w:iCs/>
          <w:color w:val="auto"/>
          <w:sz w:val="22"/>
          <w:szCs w:val="22"/>
        </w:rPr>
        <w:t>S</w:t>
      </w:r>
      <w:r w:rsidRPr="00BD5089">
        <w:rPr>
          <w:rFonts w:asciiTheme="minorHAnsi" w:eastAsia="Calibri" w:hAnsiTheme="minorHAnsi"/>
          <w:bCs/>
          <w:i/>
          <w:iCs/>
          <w:color w:val="auto"/>
          <w:sz w:val="22"/>
          <w:szCs w:val="22"/>
        </w:rPr>
        <w:t xml:space="preserve"> </w:t>
      </w:r>
      <w:r w:rsidR="00AD60CA" w:rsidRPr="00BD5089">
        <w:rPr>
          <w:rFonts w:asciiTheme="minorHAnsi" w:eastAsia="Calibri" w:hAnsiTheme="minorHAnsi"/>
          <w:bCs/>
          <w:i/>
          <w:iCs/>
          <w:color w:val="auto"/>
          <w:sz w:val="22"/>
          <w:szCs w:val="22"/>
        </w:rPr>
        <w:t>AT</w:t>
      </w:r>
      <w:r w:rsidRPr="00BD5089">
        <w:rPr>
          <w:rFonts w:asciiTheme="minorHAnsi" w:eastAsia="Calibri" w:hAnsiTheme="minorHAnsi"/>
          <w:bCs/>
          <w:i/>
          <w:iCs/>
          <w:color w:val="auto"/>
          <w:sz w:val="22"/>
          <w:szCs w:val="22"/>
        </w:rPr>
        <w:t xml:space="preserve"> </w:t>
      </w:r>
      <w:r w:rsidR="00AD60CA" w:rsidRPr="00BD5089">
        <w:rPr>
          <w:rFonts w:asciiTheme="minorHAnsi" w:eastAsia="Calibri" w:hAnsiTheme="minorHAnsi"/>
          <w:bCs/>
          <w:i/>
          <w:iCs/>
          <w:color w:val="auto"/>
          <w:sz w:val="22"/>
          <w:szCs w:val="22"/>
        </w:rPr>
        <w:t>THE</w:t>
      </w:r>
      <w:r w:rsidRPr="00BD5089">
        <w:rPr>
          <w:rFonts w:asciiTheme="minorHAnsi" w:eastAsia="Calibri" w:hAnsiTheme="minorHAnsi"/>
          <w:bCs/>
          <w:i/>
          <w:iCs/>
          <w:color w:val="auto"/>
          <w:sz w:val="22"/>
          <w:szCs w:val="22"/>
        </w:rPr>
        <w:t xml:space="preserve"> </w:t>
      </w:r>
      <w:r w:rsidR="00AD60CA" w:rsidRPr="00BD5089">
        <w:rPr>
          <w:rFonts w:asciiTheme="minorHAnsi" w:eastAsia="Calibri" w:hAnsiTheme="minorHAnsi"/>
          <w:bCs/>
          <w:i/>
          <w:iCs/>
          <w:color w:val="auto"/>
          <w:sz w:val="22"/>
          <w:szCs w:val="22"/>
        </w:rPr>
        <w:t>END</w:t>
      </w:r>
      <w:r w:rsidRPr="00BD5089">
        <w:rPr>
          <w:rFonts w:asciiTheme="minorHAnsi" w:eastAsia="Calibri" w:hAnsiTheme="minorHAnsi"/>
          <w:bCs/>
          <w:i/>
          <w:iCs/>
          <w:color w:val="auto"/>
          <w:sz w:val="22"/>
          <w:szCs w:val="22"/>
        </w:rPr>
        <w:t xml:space="preserve"> </w:t>
      </w:r>
      <w:r w:rsidR="00AD60CA" w:rsidRPr="00BD5089">
        <w:rPr>
          <w:rFonts w:asciiTheme="minorHAnsi" w:eastAsia="Calibri" w:hAnsiTheme="minorHAnsi"/>
          <w:bCs/>
          <w:i/>
          <w:iCs/>
          <w:color w:val="auto"/>
          <w:sz w:val="22"/>
          <w:szCs w:val="22"/>
        </w:rPr>
        <w:t>OF</w:t>
      </w:r>
      <w:r w:rsidRPr="00BD5089">
        <w:rPr>
          <w:rFonts w:asciiTheme="minorHAnsi" w:eastAsia="Calibri" w:hAnsiTheme="minorHAnsi"/>
          <w:bCs/>
          <w:i/>
          <w:iCs/>
          <w:color w:val="auto"/>
          <w:sz w:val="22"/>
          <w:szCs w:val="22"/>
        </w:rPr>
        <w:t xml:space="preserve"> 2021</w:t>
      </w:r>
      <w:r w:rsidRPr="00BD5089">
        <w:rPr>
          <w:rFonts w:asciiTheme="minorHAnsi" w:eastAsia="Calibri" w:hAnsiTheme="minorHAnsi"/>
          <w:bCs/>
          <w:color w:val="auto"/>
          <w:sz w:val="22"/>
          <w:szCs w:val="22"/>
        </w:rPr>
        <w:t xml:space="preserve">, 16 years since Theatreview went live </w:t>
      </w:r>
      <w:r w:rsidR="00D90B3A" w:rsidRPr="00BD5089">
        <w:rPr>
          <w:rFonts w:asciiTheme="minorHAnsi" w:eastAsia="Calibri" w:hAnsiTheme="minorHAnsi"/>
          <w:bCs/>
          <w:color w:val="auto"/>
          <w:sz w:val="22"/>
          <w:szCs w:val="22"/>
        </w:rPr>
        <w:t>at the beginning of</w:t>
      </w:r>
      <w:r w:rsidRPr="00BD5089">
        <w:rPr>
          <w:rFonts w:asciiTheme="minorHAnsi" w:eastAsia="Calibri" w:hAnsiTheme="minorHAnsi"/>
          <w:bCs/>
          <w:color w:val="auto"/>
          <w:sz w:val="22"/>
          <w:szCs w:val="22"/>
        </w:rPr>
        <w:t xml:space="preserve"> 2006, the website holds about 13,000 reviews of some 7,500 productions</w:t>
      </w:r>
      <w:r w:rsidRPr="00AD60CA">
        <w:rPr>
          <w:rFonts w:asciiTheme="minorHAnsi" w:eastAsia="Calibri" w:hAnsiTheme="minorHAnsi"/>
          <w:bCs/>
          <w:color w:val="auto"/>
        </w:rPr>
        <w:t>.</w:t>
      </w:r>
    </w:p>
    <w:p w14:paraId="34039C80" w14:textId="77777777" w:rsidR="00AB74A7" w:rsidRPr="00AB74A7" w:rsidRDefault="00AB74A7" w:rsidP="00AB74A7"/>
    <w:p w14:paraId="6AC8E0C7" w14:textId="6D46F2CC" w:rsidR="00BE094B" w:rsidRPr="007B4C81" w:rsidRDefault="00AF68C4" w:rsidP="00BE094B">
      <w:pPr>
        <w:pStyle w:val="Heading4"/>
        <w:jc w:val="both"/>
        <w:rPr>
          <w:rFonts w:eastAsia="Calibri"/>
          <w:sz w:val="36"/>
          <w:szCs w:val="36"/>
        </w:rPr>
      </w:pPr>
      <w:r>
        <w:rPr>
          <w:rFonts w:eastAsia="Calibri"/>
          <w:sz w:val="36"/>
          <w:szCs w:val="36"/>
        </w:rPr>
        <w:lastRenderedPageBreak/>
        <w:t>F</w:t>
      </w:r>
      <w:r w:rsidR="00BE094B">
        <w:rPr>
          <w:rFonts w:eastAsia="Calibri"/>
          <w:sz w:val="36"/>
          <w:szCs w:val="36"/>
        </w:rPr>
        <w:t>unding</w:t>
      </w:r>
    </w:p>
    <w:p w14:paraId="24F96706" w14:textId="08071848" w:rsidR="00C8139E" w:rsidRDefault="00E4431B" w:rsidP="00C8139E">
      <w:pPr>
        <w:spacing w:after="120"/>
        <w:jc w:val="both"/>
        <w:rPr>
          <w:bCs/>
        </w:rPr>
      </w:pPr>
      <w:r>
        <w:rPr>
          <w:bCs/>
        </w:rPr>
        <w:t>Grant f</w:t>
      </w:r>
      <w:r w:rsidR="00BE094B" w:rsidRPr="00727B02">
        <w:rPr>
          <w:bCs/>
        </w:rPr>
        <w:t xml:space="preserve">unding </w:t>
      </w:r>
      <w:r w:rsidR="00FD4E62" w:rsidRPr="00727B02">
        <w:rPr>
          <w:bCs/>
        </w:rPr>
        <w:t>stopped in late 2020</w:t>
      </w:r>
      <w:r w:rsidR="00FD4E62">
        <w:rPr>
          <w:bCs/>
        </w:rPr>
        <w:t xml:space="preserve"> </w:t>
      </w:r>
      <w:r w:rsidR="00BE094B" w:rsidRPr="00727B02">
        <w:rPr>
          <w:bCs/>
        </w:rPr>
        <w:t>for the editors’ work, apart from theatre in Wellington, and for management.  Reviewing continued</w:t>
      </w:r>
      <w:r w:rsidR="00BE094B">
        <w:rPr>
          <w:bCs/>
        </w:rPr>
        <w:t>,</w:t>
      </w:r>
      <w:r w:rsidR="00BE094B" w:rsidRPr="00727B02">
        <w:rPr>
          <w:bCs/>
        </w:rPr>
        <w:t xml:space="preserve"> </w:t>
      </w:r>
      <w:r w:rsidR="00BE094B">
        <w:rPr>
          <w:bCs/>
        </w:rPr>
        <w:t>on as</w:t>
      </w:r>
      <w:r w:rsidR="00BE094B" w:rsidRPr="00727B02">
        <w:rPr>
          <w:bCs/>
        </w:rPr>
        <w:t xml:space="preserve"> close to the usual basis </w:t>
      </w:r>
      <w:r w:rsidR="00BE094B">
        <w:rPr>
          <w:bCs/>
        </w:rPr>
        <w:t xml:space="preserve">as possible, </w:t>
      </w:r>
      <w:r w:rsidR="00BE094B" w:rsidRPr="00727B02">
        <w:rPr>
          <w:bCs/>
        </w:rPr>
        <w:t xml:space="preserve">thanks to hundreds of hours of donated time, although for theatre outside the Wellington region it became restricted.  </w:t>
      </w:r>
    </w:p>
    <w:p w14:paraId="000D1CF2" w14:textId="71B91A59" w:rsidR="00BE094B" w:rsidRDefault="00BE094B" w:rsidP="00BE094B">
      <w:pPr>
        <w:spacing w:after="0"/>
        <w:jc w:val="both"/>
        <w:rPr>
          <w:bCs/>
        </w:rPr>
      </w:pPr>
      <w:r w:rsidRPr="00727B02">
        <w:rPr>
          <w:bCs/>
        </w:rPr>
        <w:t>Our treasured donors continued to support us</w:t>
      </w:r>
      <w:r w:rsidR="00C8139E">
        <w:rPr>
          <w:bCs/>
        </w:rPr>
        <w:t xml:space="preserve">.  Several gave larger than usual gifts, and </w:t>
      </w:r>
      <w:proofErr w:type="spellStart"/>
      <w:r w:rsidR="00C8139E">
        <w:rPr>
          <w:bCs/>
        </w:rPr>
        <w:t>Nalinda</w:t>
      </w:r>
      <w:proofErr w:type="spellEnd"/>
      <w:r w:rsidR="00C8139E">
        <w:rPr>
          <w:bCs/>
        </w:rPr>
        <w:t xml:space="preserve"> Properties very generously donated sufficient to enable us to meet a fee for the dance editor for almost two months.  </w:t>
      </w:r>
      <w:r w:rsidR="002450D5">
        <w:rPr>
          <w:bCs/>
        </w:rPr>
        <w:t xml:space="preserve">The Wellington City Council continued to support our theatre reviewing in the Wellington region.  </w:t>
      </w:r>
      <w:r w:rsidR="00C8139E">
        <w:rPr>
          <w:bCs/>
        </w:rPr>
        <w:t>The Southern Trust (which later rebranded as the Aote</w:t>
      </w:r>
      <w:r w:rsidR="00B41E0A">
        <w:rPr>
          <w:bCs/>
        </w:rPr>
        <w:t>a</w:t>
      </w:r>
      <w:r w:rsidR="00C8139E">
        <w:rPr>
          <w:bCs/>
        </w:rPr>
        <w:t>roa Gaming Trust) made</w:t>
      </w:r>
      <w:r w:rsidRPr="00727B02">
        <w:rPr>
          <w:bCs/>
        </w:rPr>
        <w:t xml:space="preserve"> a grant </w:t>
      </w:r>
      <w:r w:rsidR="004A3242">
        <w:rPr>
          <w:bCs/>
        </w:rPr>
        <w:t>at</w:t>
      </w:r>
      <w:r w:rsidR="00FD4E62">
        <w:rPr>
          <w:bCs/>
        </w:rPr>
        <w:t xml:space="preserve"> the beginning of 2021 </w:t>
      </w:r>
      <w:r w:rsidR="00E4431B">
        <w:rPr>
          <w:bCs/>
        </w:rPr>
        <w:t xml:space="preserve">to </w:t>
      </w:r>
      <w:r w:rsidRPr="00727B02">
        <w:rPr>
          <w:bCs/>
        </w:rPr>
        <w:t xml:space="preserve">support </w:t>
      </w:r>
      <w:r w:rsidR="00E4431B">
        <w:rPr>
          <w:bCs/>
        </w:rPr>
        <w:t>6</w:t>
      </w:r>
      <w:r w:rsidR="00E4431B" w:rsidRPr="00727B02">
        <w:rPr>
          <w:bCs/>
        </w:rPr>
        <w:t xml:space="preserve"> months </w:t>
      </w:r>
      <w:r w:rsidR="00E4431B">
        <w:rPr>
          <w:bCs/>
        </w:rPr>
        <w:t xml:space="preserve">of our </w:t>
      </w:r>
      <w:r w:rsidRPr="00727B02">
        <w:rPr>
          <w:bCs/>
        </w:rPr>
        <w:t xml:space="preserve">website costs and another grant in February 2022 </w:t>
      </w:r>
      <w:r w:rsidR="00C8139E">
        <w:rPr>
          <w:bCs/>
        </w:rPr>
        <w:t>towards a fee for</w:t>
      </w:r>
      <w:r w:rsidRPr="00727B02">
        <w:rPr>
          <w:bCs/>
        </w:rPr>
        <w:t xml:space="preserve"> </w:t>
      </w:r>
      <w:r w:rsidR="00C8139E">
        <w:rPr>
          <w:bCs/>
        </w:rPr>
        <w:t>the</w:t>
      </w:r>
      <w:r w:rsidRPr="00727B02">
        <w:rPr>
          <w:bCs/>
        </w:rPr>
        <w:t xml:space="preserve"> </w:t>
      </w:r>
      <w:r w:rsidR="00AF68C4">
        <w:rPr>
          <w:bCs/>
        </w:rPr>
        <w:t xml:space="preserve">dance </w:t>
      </w:r>
      <w:r w:rsidRPr="00727B02">
        <w:rPr>
          <w:bCs/>
        </w:rPr>
        <w:t>editor for 6 months.  The search for funding continues.</w:t>
      </w:r>
    </w:p>
    <w:p w14:paraId="4E9C9848" w14:textId="77777777" w:rsidR="00BE094B" w:rsidRPr="00727B02" w:rsidRDefault="00BE094B" w:rsidP="00BE094B">
      <w:pPr>
        <w:spacing w:after="0"/>
        <w:jc w:val="both"/>
        <w:rPr>
          <w:b/>
          <w:bCs/>
        </w:rPr>
      </w:pPr>
    </w:p>
    <w:p w14:paraId="52C55DB7" w14:textId="48AEF268" w:rsidR="001E07FF" w:rsidRPr="007B4C81" w:rsidRDefault="001E07FF" w:rsidP="00117C07">
      <w:pPr>
        <w:pStyle w:val="Heading4"/>
        <w:jc w:val="both"/>
        <w:rPr>
          <w:rFonts w:eastAsia="Calibri"/>
          <w:sz w:val="36"/>
          <w:szCs w:val="36"/>
        </w:rPr>
      </w:pPr>
      <w:r w:rsidRPr="007B4C81">
        <w:rPr>
          <w:rFonts w:eastAsia="Calibri"/>
          <w:sz w:val="36"/>
          <w:szCs w:val="36"/>
        </w:rPr>
        <w:t>The editorial team</w:t>
      </w:r>
      <w:r w:rsidR="00667DE9">
        <w:rPr>
          <w:rFonts w:eastAsia="Calibri"/>
          <w:sz w:val="36"/>
          <w:szCs w:val="36"/>
        </w:rPr>
        <w:t xml:space="preserve"> and the webmaster</w:t>
      </w:r>
    </w:p>
    <w:p w14:paraId="78A922A6" w14:textId="7F45B2BD" w:rsidR="001E07FF" w:rsidRPr="007B4C81" w:rsidRDefault="001E07FF" w:rsidP="00117C07">
      <w:pPr>
        <w:spacing w:after="120"/>
        <w:jc w:val="both"/>
      </w:pPr>
      <w:r w:rsidRPr="007B4C81">
        <w:rPr>
          <w:b/>
          <w:sz w:val="28"/>
          <w:szCs w:val="28"/>
        </w:rPr>
        <w:t>John Smythe</w:t>
      </w:r>
      <w:r w:rsidRPr="007B4C81">
        <w:t xml:space="preserve">: Founder and managing editor for </w:t>
      </w:r>
      <w:hyperlink r:id="rId8" w:history="1">
        <w:r w:rsidRPr="007B4C81">
          <w:rPr>
            <w:rStyle w:val="Hyperlink"/>
            <w:color w:val="auto"/>
          </w:rPr>
          <w:t>www.theatreview.org.nz</w:t>
        </w:r>
      </w:hyperlink>
      <w:r w:rsidRPr="007B4C81">
        <w:t xml:space="preserve"> and its senior theatre critic, John Smythe is a Trustee of The Theatreview Trust, as well as being its Editor (Theatre). He has a Bachelor of Dramatic Arts from the National Institute of Dramatic Art and a certificate in screenwriting from the Australian Film Television and Radio School. </w:t>
      </w:r>
    </w:p>
    <w:p w14:paraId="0BA32D19" w14:textId="77777777" w:rsidR="001E07FF" w:rsidRPr="007B4C81" w:rsidRDefault="001E07FF" w:rsidP="00117C07">
      <w:pPr>
        <w:pStyle w:val="BodyText2"/>
        <w:spacing w:after="120"/>
        <w:jc w:val="both"/>
        <w:rPr>
          <w:rFonts w:ascii="Calibri" w:hAnsi="Calibri" w:cs="Times New Roman"/>
          <w:sz w:val="22"/>
          <w:szCs w:val="22"/>
        </w:rPr>
      </w:pPr>
      <w:r w:rsidRPr="007B4C81">
        <w:rPr>
          <w:rFonts w:ascii="Calibri" w:hAnsi="Calibri" w:cs="Times New Roman"/>
          <w:sz w:val="22"/>
          <w:szCs w:val="22"/>
        </w:rPr>
        <w:t>Starting in Gang Shows and David Tinkham’s Wellington Rep pantomimes, training in the Aro Valley with Nola Millar and her tutors, touring with the NZ Players Drama Quartet and participating in the early years of Downstage set John off on decades of wide-ranging professional experience as an actor, playwright, screen writer, tutor and theatre critic – in New Zealand, Australia then back in New Zealand.  For many years now he has been Wellington-based.</w:t>
      </w:r>
    </w:p>
    <w:p w14:paraId="0E05D60D" w14:textId="77777777" w:rsidR="001E07FF" w:rsidRPr="007B4C81" w:rsidRDefault="001E07FF" w:rsidP="00117C07">
      <w:pPr>
        <w:spacing w:after="120"/>
        <w:jc w:val="both"/>
      </w:pPr>
      <w:r w:rsidRPr="007B4C81">
        <w:t xml:space="preserve">He has served as a theatre critic for </w:t>
      </w:r>
      <w:r w:rsidRPr="007B4C81">
        <w:rPr>
          <w:i/>
        </w:rPr>
        <w:t>The Melbourne Times</w:t>
      </w:r>
      <w:r w:rsidRPr="007B4C81">
        <w:t xml:space="preserve">, </w:t>
      </w:r>
      <w:r w:rsidRPr="007B4C81">
        <w:rPr>
          <w:i/>
        </w:rPr>
        <w:t>The Australian</w:t>
      </w:r>
      <w:r w:rsidRPr="007B4C81">
        <w:t xml:space="preserve">, </w:t>
      </w:r>
      <w:r w:rsidRPr="007B4C81">
        <w:rPr>
          <w:i/>
        </w:rPr>
        <w:t>Theatre Australia</w:t>
      </w:r>
      <w:r w:rsidRPr="007B4C81">
        <w:t xml:space="preserve"> Magazine – and, in New Zealand, the </w:t>
      </w:r>
      <w:r w:rsidRPr="007B4C81">
        <w:rPr>
          <w:i/>
        </w:rPr>
        <w:t>National Business Review</w:t>
      </w:r>
      <w:r w:rsidRPr="007B4C81">
        <w:t xml:space="preserve"> and </w:t>
      </w:r>
      <w:r w:rsidRPr="007B4C81">
        <w:rPr>
          <w:b/>
          <w:i/>
        </w:rPr>
        <w:t>theatreview.org.nz</w:t>
      </w:r>
      <w:r w:rsidRPr="007B4C81">
        <w:t xml:space="preserve">.  </w:t>
      </w:r>
    </w:p>
    <w:p w14:paraId="10F16C85" w14:textId="77777777" w:rsidR="001E07FF" w:rsidRPr="007B4C81" w:rsidRDefault="001E07FF" w:rsidP="00117C07">
      <w:pPr>
        <w:pStyle w:val="BodyText2"/>
        <w:spacing w:after="120"/>
        <w:jc w:val="both"/>
        <w:rPr>
          <w:rFonts w:ascii="Calibri" w:hAnsi="Calibri" w:cs="Times New Roman"/>
          <w:sz w:val="22"/>
          <w:szCs w:val="22"/>
        </w:rPr>
      </w:pPr>
      <w:r w:rsidRPr="007B4C81">
        <w:rPr>
          <w:rFonts w:ascii="Calibri" w:hAnsi="Calibri" w:cs="Times New Roman"/>
          <w:sz w:val="22"/>
          <w:szCs w:val="22"/>
        </w:rPr>
        <w:t xml:space="preserve">John has served on the Board of Studies for Toi Whakaari: New Zealand Drama School and as Vice President then President of the New Zealand Writers Guild (and before that the Australian Writers Guild), serving on a range on industry boards, and attending (and helping to host) a number of International Affiliation of Writers Guilds meetings in the process. </w:t>
      </w:r>
    </w:p>
    <w:p w14:paraId="18DCDBD9" w14:textId="77777777" w:rsidR="001E07FF" w:rsidRPr="00BF3B6B" w:rsidRDefault="001E07FF" w:rsidP="00117C07">
      <w:pPr>
        <w:jc w:val="both"/>
      </w:pPr>
      <w:r w:rsidRPr="007B4C81">
        <w:t xml:space="preserve">John’s non-fiction book titles include </w:t>
      </w:r>
      <w:r w:rsidRPr="007B4C81">
        <w:rPr>
          <w:i/>
        </w:rPr>
        <w:t>Downstage Upfront</w:t>
      </w:r>
      <w:r w:rsidRPr="007B4C81">
        <w:t xml:space="preserve">: </w:t>
      </w:r>
      <w:r w:rsidRPr="007B4C81">
        <w:rPr>
          <w:i/>
        </w:rPr>
        <w:t>the first 40 years of New</w:t>
      </w:r>
      <w:r w:rsidRPr="007B4C81">
        <w:t xml:space="preserve"> </w:t>
      </w:r>
      <w:r w:rsidRPr="007B4C81">
        <w:rPr>
          <w:i/>
        </w:rPr>
        <w:t>Zealand’s longest running professional theatre</w:t>
      </w:r>
      <w:r w:rsidRPr="007B4C81">
        <w:t xml:space="preserve"> (Victoria University Press, 2004) and </w:t>
      </w:r>
      <w:r w:rsidRPr="007B4C81">
        <w:rPr>
          <w:i/>
        </w:rPr>
        <w:t>The Plays of Bruce Mason</w:t>
      </w:r>
      <w:r w:rsidRPr="007B4C81">
        <w:t xml:space="preserve"> – </w:t>
      </w:r>
      <w:r w:rsidRPr="007B4C81">
        <w:rPr>
          <w:i/>
        </w:rPr>
        <w:t xml:space="preserve">a </w:t>
      </w:r>
      <w:r w:rsidRPr="00BF3B6B">
        <w:rPr>
          <w:i/>
        </w:rPr>
        <w:t>survey</w:t>
      </w:r>
      <w:r w:rsidRPr="00BF3B6B">
        <w:t xml:space="preserve"> (VUP &amp; </w:t>
      </w:r>
      <w:proofErr w:type="spellStart"/>
      <w:r w:rsidRPr="00BF3B6B">
        <w:t>Playmarket</w:t>
      </w:r>
      <w:proofErr w:type="spellEnd"/>
      <w:r w:rsidRPr="00BF3B6B">
        <w:t xml:space="preserve">, 2015).   </w:t>
      </w:r>
    </w:p>
    <w:p w14:paraId="7393FC42" w14:textId="5D431D97" w:rsidR="001E07FF" w:rsidRPr="00DC5C91" w:rsidRDefault="001E07FF" w:rsidP="00117C07">
      <w:pPr>
        <w:autoSpaceDE w:val="0"/>
        <w:autoSpaceDN w:val="0"/>
        <w:adjustRightInd w:val="0"/>
        <w:spacing w:after="120"/>
        <w:jc w:val="both"/>
        <w:rPr>
          <w:rFonts w:cstheme="minorHAnsi"/>
        </w:rPr>
      </w:pPr>
      <w:r w:rsidRPr="00BF3B6B">
        <w:rPr>
          <w:rFonts w:cstheme="minorHAnsi"/>
          <w:b/>
          <w:bCs/>
          <w:sz w:val="28"/>
          <w:szCs w:val="28"/>
        </w:rPr>
        <w:t>Lyne Pringle</w:t>
      </w:r>
      <w:r w:rsidRPr="00BF3B6B">
        <w:rPr>
          <w:rFonts w:cstheme="minorHAnsi"/>
        </w:rPr>
        <w:t xml:space="preserve">, </w:t>
      </w:r>
      <w:r w:rsidR="00BF3B6B">
        <w:rPr>
          <w:rFonts w:cstheme="minorHAnsi"/>
        </w:rPr>
        <w:t xml:space="preserve">now Wellington-based, </w:t>
      </w:r>
      <w:r w:rsidRPr="00BF3B6B">
        <w:rPr>
          <w:rFonts w:cstheme="minorHAnsi"/>
        </w:rPr>
        <w:t>t</w:t>
      </w:r>
      <w:r w:rsidR="00BF3B6B" w:rsidRPr="00BF3B6B">
        <w:rPr>
          <w:rFonts w:cstheme="minorHAnsi"/>
        </w:rPr>
        <w:t>ook</w:t>
      </w:r>
      <w:r w:rsidRPr="00BF3B6B">
        <w:rPr>
          <w:rFonts w:cstheme="minorHAnsi"/>
        </w:rPr>
        <w:t xml:space="preserve"> the role of Editor (Dance)</w:t>
      </w:r>
      <w:r w:rsidR="00BF3B6B" w:rsidRPr="00BF3B6B">
        <w:rPr>
          <w:rFonts w:cstheme="minorHAnsi"/>
        </w:rPr>
        <w:t xml:space="preserve"> </w:t>
      </w:r>
      <w:r w:rsidR="00DC5C91" w:rsidRPr="00DC5C91">
        <w:rPr>
          <w:rFonts w:cstheme="minorHAnsi"/>
        </w:rPr>
        <w:t xml:space="preserve">New Zealand-wide </w:t>
      </w:r>
      <w:r w:rsidR="00BF3B6B" w:rsidRPr="00DC5C91">
        <w:rPr>
          <w:rFonts w:cstheme="minorHAnsi"/>
        </w:rPr>
        <w:t>at the beginning of 2021</w:t>
      </w:r>
      <w:r w:rsidR="0031062A">
        <w:rPr>
          <w:rFonts w:cstheme="minorHAnsi"/>
        </w:rPr>
        <w:t>.  She is a Trustee and</w:t>
      </w:r>
      <w:r w:rsidR="00DC5C91">
        <w:rPr>
          <w:rFonts w:cstheme="minorHAnsi"/>
        </w:rPr>
        <w:t xml:space="preserve"> is </w:t>
      </w:r>
      <w:proofErr w:type="spellStart"/>
      <w:r w:rsidR="00DC5C91">
        <w:rPr>
          <w:rFonts w:cstheme="minorHAnsi"/>
        </w:rPr>
        <w:t>Theatreview’s</w:t>
      </w:r>
      <w:proofErr w:type="spellEnd"/>
      <w:r w:rsidR="00DC5C91">
        <w:rPr>
          <w:rFonts w:cstheme="minorHAnsi"/>
        </w:rPr>
        <w:t xml:space="preserve"> senior dance critic</w:t>
      </w:r>
      <w:r w:rsidRPr="00DC5C91">
        <w:rPr>
          <w:rFonts w:cstheme="minorHAnsi"/>
        </w:rPr>
        <w:t xml:space="preserve">. </w:t>
      </w:r>
      <w:bookmarkStart w:id="1" w:name="_Hlk66089904"/>
    </w:p>
    <w:p w14:paraId="3AEC176B" w14:textId="0AD7D495" w:rsidR="00DC5C91" w:rsidRDefault="00DC5C91" w:rsidP="00117C07">
      <w:pPr>
        <w:autoSpaceDE w:val="0"/>
        <w:autoSpaceDN w:val="0"/>
        <w:adjustRightInd w:val="0"/>
        <w:spacing w:after="120"/>
        <w:jc w:val="both"/>
      </w:pPr>
      <w:r w:rsidRPr="00DC5C91">
        <w:t xml:space="preserve">Lyne began reviewing dance for Theatreview in 2007. </w:t>
      </w:r>
      <w:r w:rsidR="00222D0E">
        <w:t xml:space="preserve"> </w:t>
      </w:r>
      <w:r w:rsidRPr="00DC5C91">
        <w:t>Since 2019 she has also reviewed for the Dominion Post.</w:t>
      </w:r>
      <w:r w:rsidR="0031062A">
        <w:t xml:space="preserve">  </w:t>
      </w:r>
      <w:r w:rsidRPr="00DC5C91">
        <w:t>Over 42 years as a dance/theatre artist in New Zealand, Australia and New York Lyne has gained a rich understanding of the needs and challenges of the sector. She has worked with many of the leading dance artists in Aotearoa, has received numerous awards and is deeply committed to the development of New Zealand performing arts.</w:t>
      </w:r>
    </w:p>
    <w:p w14:paraId="22C55149" w14:textId="20149B01" w:rsidR="00345EBC" w:rsidRPr="00384938" w:rsidRDefault="007B6235" w:rsidP="00117C07">
      <w:pPr>
        <w:autoSpaceDE w:val="0"/>
        <w:autoSpaceDN w:val="0"/>
        <w:adjustRightInd w:val="0"/>
        <w:spacing w:after="120"/>
        <w:jc w:val="both"/>
      </w:pPr>
      <w:r>
        <w:t>Recent</w:t>
      </w:r>
      <w:r w:rsidR="00345EBC">
        <w:t xml:space="preserve"> awards include a 2016 </w:t>
      </w:r>
      <w:r w:rsidR="00345EBC" w:rsidRPr="00345EBC">
        <w:t xml:space="preserve">Life Time Achievement Award from the Dance Industry, the 2012 James Wallace Artistic Residency at the </w:t>
      </w:r>
      <w:proofErr w:type="spellStart"/>
      <w:r w:rsidR="00345EBC" w:rsidRPr="00345EBC">
        <w:t>Pah</w:t>
      </w:r>
      <w:proofErr w:type="spellEnd"/>
      <w:r w:rsidR="00345EBC" w:rsidRPr="00345EBC">
        <w:t xml:space="preserve"> Homestead, and </w:t>
      </w:r>
      <w:r w:rsidR="00345EBC">
        <w:t xml:space="preserve">the 2011 </w:t>
      </w:r>
      <w:r w:rsidR="00345EBC" w:rsidRPr="00384938">
        <w:t>Otago University Caroline Fellowship - Community Dance.</w:t>
      </w:r>
    </w:p>
    <w:p w14:paraId="0C8D521B" w14:textId="2749893E" w:rsidR="00222D0E" w:rsidRDefault="00DC5C91" w:rsidP="00117C07">
      <w:pPr>
        <w:autoSpaceDE w:val="0"/>
        <w:autoSpaceDN w:val="0"/>
        <w:adjustRightInd w:val="0"/>
        <w:spacing w:after="120"/>
        <w:jc w:val="both"/>
      </w:pPr>
      <w:r w:rsidRPr="00DC5C91">
        <w:t>Lyne now concentrates on supporting the wider sector, writing and social/eco activism.</w:t>
      </w:r>
      <w:r w:rsidR="00222D0E">
        <w:t xml:space="preserve">  She is</w:t>
      </w:r>
      <w:r w:rsidRPr="00DC5C91">
        <w:t xml:space="preserve"> </w:t>
      </w:r>
      <w:r w:rsidR="00222D0E">
        <w:t xml:space="preserve">passionate about volunteering, her activities in this area include: leading Bring Back the Natives - a community planting project in </w:t>
      </w:r>
      <w:r w:rsidR="0061210F">
        <w:t>her</w:t>
      </w:r>
      <w:r w:rsidR="00222D0E">
        <w:t xml:space="preserve"> home suburb of Newtown; writing and advising about dance; kaka nest monitor at Zealandia; kaitiaki of community fruit trees in Newtown.</w:t>
      </w:r>
    </w:p>
    <w:p w14:paraId="49FB3338" w14:textId="7642F266" w:rsidR="00222D0E" w:rsidRDefault="0061210F" w:rsidP="00117C07">
      <w:pPr>
        <w:autoSpaceDE w:val="0"/>
        <w:autoSpaceDN w:val="0"/>
        <w:adjustRightInd w:val="0"/>
        <w:spacing w:after="120"/>
        <w:jc w:val="both"/>
      </w:pPr>
      <w:r w:rsidRPr="0061210F">
        <w:lastRenderedPageBreak/>
        <w:t>She is the Employee/Corporate Volunteering Manager</w:t>
      </w:r>
      <w:r>
        <w:t xml:space="preserve"> at Volunteer Wellington.</w:t>
      </w:r>
    </w:p>
    <w:p w14:paraId="0E4B47C1" w14:textId="7A964F5A" w:rsidR="00DC5C91" w:rsidRDefault="00DC5C91" w:rsidP="00667DE9">
      <w:pPr>
        <w:autoSpaceDE w:val="0"/>
        <w:autoSpaceDN w:val="0"/>
        <w:adjustRightInd w:val="0"/>
        <w:spacing w:after="120"/>
        <w:jc w:val="both"/>
      </w:pPr>
      <w:r w:rsidRPr="00DC5C91">
        <w:t>As well as writing for other publications, she teaches dance studies at the New Zealand School of Dance, is an oral historian for the New Zealand Dance Archive and a member of the Artistic Advisory Panel for Footnote New Zealand Dance.</w:t>
      </w:r>
    </w:p>
    <w:p w14:paraId="3B458B73" w14:textId="3F74A66D" w:rsidR="00BB2229" w:rsidRDefault="00667DE9" w:rsidP="00BB2229">
      <w:pPr>
        <w:autoSpaceDE w:val="0"/>
        <w:autoSpaceDN w:val="0"/>
        <w:adjustRightInd w:val="0"/>
        <w:spacing w:after="120"/>
        <w:jc w:val="both"/>
        <w:rPr>
          <w:rFonts w:cstheme="minorHAnsi"/>
          <w:sz w:val="21"/>
          <w:szCs w:val="21"/>
        </w:rPr>
      </w:pPr>
      <w:r w:rsidRPr="00667DE9">
        <w:rPr>
          <w:b/>
          <w:bCs/>
          <w:sz w:val="28"/>
          <w:szCs w:val="28"/>
        </w:rPr>
        <w:t>Sascha Monteiro</w:t>
      </w:r>
      <w:r>
        <w:t xml:space="preserve"> from </w:t>
      </w:r>
      <w:proofErr w:type="spellStart"/>
      <w:r>
        <w:t>PureJS</w:t>
      </w:r>
      <w:proofErr w:type="spellEnd"/>
      <w:r>
        <w:t xml:space="preserve"> </w:t>
      </w:r>
      <w:r w:rsidR="006B156B">
        <w:t xml:space="preserve">has worked with Theatreview </w:t>
      </w:r>
      <w:r w:rsidR="00987813">
        <w:t xml:space="preserve">since </w:t>
      </w:r>
      <w:r w:rsidR="00101C88">
        <w:t>2008</w:t>
      </w:r>
      <w:r w:rsidR="006B156B">
        <w:t xml:space="preserve">.  </w:t>
      </w:r>
      <w:r w:rsidR="00BB2229">
        <w:t xml:space="preserve">He is </w:t>
      </w:r>
      <w:r w:rsidR="00BB2229" w:rsidRPr="00FE2B14">
        <w:rPr>
          <w:rFonts w:cstheme="minorHAnsi"/>
          <w:sz w:val="21"/>
          <w:szCs w:val="21"/>
        </w:rPr>
        <w:t>an experienced engineer and developer.  His skills include JavaScript, Java, PL/SQL, Servlet, JSP, PHP, HTML, CSS, SOAP, REST Linux, Oracle, Apex, Tomcat, VMWare, MySQL.</w:t>
      </w:r>
      <w:r w:rsidR="00BB2229">
        <w:rPr>
          <w:rFonts w:cstheme="minorHAnsi"/>
          <w:sz w:val="21"/>
          <w:szCs w:val="21"/>
        </w:rPr>
        <w:t xml:space="preserve">  </w:t>
      </w:r>
    </w:p>
    <w:p w14:paraId="736F2C26" w14:textId="60E67E84" w:rsidR="00667DE9" w:rsidRPr="00DC5C91" w:rsidRDefault="006B156B" w:rsidP="00117C07">
      <w:pPr>
        <w:autoSpaceDE w:val="0"/>
        <w:autoSpaceDN w:val="0"/>
        <w:adjustRightInd w:val="0"/>
        <w:spacing w:after="0"/>
        <w:jc w:val="both"/>
      </w:pPr>
      <w:r>
        <w:t xml:space="preserve">He </w:t>
      </w:r>
      <w:r w:rsidR="00667DE9">
        <w:rPr>
          <w:rFonts w:cstheme="minorHAnsi"/>
          <w:sz w:val="21"/>
          <w:szCs w:val="21"/>
        </w:rPr>
        <w:t>e</w:t>
      </w:r>
      <w:r w:rsidR="00667DE9" w:rsidRPr="00452CEA">
        <w:rPr>
          <w:rFonts w:cstheme="minorHAnsi"/>
          <w:sz w:val="21"/>
          <w:szCs w:val="21"/>
        </w:rPr>
        <w:t>nsure</w:t>
      </w:r>
      <w:r w:rsidR="00667DE9">
        <w:rPr>
          <w:rFonts w:cstheme="minorHAnsi"/>
          <w:sz w:val="21"/>
          <w:szCs w:val="21"/>
        </w:rPr>
        <w:t>s</w:t>
      </w:r>
      <w:r w:rsidR="00667DE9" w:rsidRPr="00452CEA">
        <w:rPr>
          <w:rFonts w:cstheme="minorHAnsi"/>
          <w:sz w:val="21"/>
          <w:szCs w:val="21"/>
        </w:rPr>
        <w:t xml:space="preserve"> material can be placed on the website</w:t>
      </w:r>
      <w:r w:rsidR="00667DE9">
        <w:rPr>
          <w:rFonts w:cstheme="minorHAnsi"/>
          <w:sz w:val="21"/>
          <w:szCs w:val="21"/>
        </w:rPr>
        <w:t>, m</w:t>
      </w:r>
      <w:r w:rsidR="00667DE9" w:rsidRPr="00452CEA">
        <w:rPr>
          <w:rFonts w:cstheme="minorHAnsi"/>
          <w:sz w:val="21"/>
          <w:szCs w:val="21"/>
        </w:rPr>
        <w:t>aintain</w:t>
      </w:r>
      <w:r w:rsidR="00667DE9">
        <w:rPr>
          <w:rFonts w:cstheme="minorHAnsi"/>
          <w:sz w:val="21"/>
          <w:szCs w:val="21"/>
        </w:rPr>
        <w:t>s</w:t>
      </w:r>
      <w:r w:rsidR="00667DE9" w:rsidRPr="00452CEA">
        <w:rPr>
          <w:rFonts w:cstheme="minorHAnsi"/>
          <w:sz w:val="21"/>
          <w:szCs w:val="21"/>
        </w:rPr>
        <w:t xml:space="preserve"> </w:t>
      </w:r>
      <w:r w:rsidR="00BB2229">
        <w:rPr>
          <w:rFonts w:cstheme="minorHAnsi"/>
          <w:sz w:val="21"/>
          <w:szCs w:val="21"/>
        </w:rPr>
        <w:t>it</w:t>
      </w:r>
      <w:r w:rsidR="00667DE9">
        <w:rPr>
          <w:rFonts w:cstheme="minorHAnsi"/>
          <w:sz w:val="21"/>
          <w:szCs w:val="21"/>
        </w:rPr>
        <w:t>,</w:t>
      </w:r>
      <w:r w:rsidR="00667DE9" w:rsidRPr="00452CEA">
        <w:rPr>
          <w:rFonts w:cstheme="minorHAnsi"/>
          <w:sz w:val="21"/>
          <w:szCs w:val="21"/>
        </w:rPr>
        <w:t xml:space="preserve"> troubleshoot</w:t>
      </w:r>
      <w:r w:rsidR="00667DE9">
        <w:rPr>
          <w:rFonts w:cstheme="minorHAnsi"/>
          <w:sz w:val="21"/>
          <w:szCs w:val="21"/>
        </w:rPr>
        <w:t>s</w:t>
      </w:r>
      <w:r w:rsidR="00667DE9" w:rsidRPr="00452CEA">
        <w:rPr>
          <w:rFonts w:cstheme="minorHAnsi"/>
          <w:sz w:val="21"/>
          <w:szCs w:val="21"/>
        </w:rPr>
        <w:t xml:space="preserve"> issues</w:t>
      </w:r>
      <w:r w:rsidR="00667DE9">
        <w:rPr>
          <w:rFonts w:cstheme="minorHAnsi"/>
          <w:sz w:val="21"/>
          <w:szCs w:val="21"/>
        </w:rPr>
        <w:t>,</w:t>
      </w:r>
      <w:r w:rsidR="00667DE9" w:rsidRPr="00452CEA">
        <w:rPr>
          <w:rFonts w:cstheme="minorHAnsi"/>
          <w:sz w:val="21"/>
          <w:szCs w:val="21"/>
        </w:rPr>
        <w:t xml:space="preserve"> </w:t>
      </w:r>
      <w:r w:rsidR="00667DE9">
        <w:rPr>
          <w:rFonts w:cstheme="minorHAnsi"/>
          <w:sz w:val="21"/>
          <w:szCs w:val="21"/>
        </w:rPr>
        <w:t>and m</w:t>
      </w:r>
      <w:r w:rsidR="00667DE9" w:rsidRPr="00452CEA">
        <w:rPr>
          <w:rFonts w:cstheme="minorHAnsi"/>
          <w:sz w:val="21"/>
          <w:szCs w:val="21"/>
        </w:rPr>
        <w:t>onitor</w:t>
      </w:r>
      <w:r w:rsidR="00667DE9">
        <w:rPr>
          <w:rFonts w:cstheme="minorHAnsi"/>
          <w:sz w:val="21"/>
          <w:szCs w:val="21"/>
        </w:rPr>
        <w:t>s</w:t>
      </w:r>
      <w:r w:rsidR="00667DE9" w:rsidRPr="00452CEA">
        <w:rPr>
          <w:rFonts w:cstheme="minorHAnsi"/>
          <w:sz w:val="21"/>
          <w:szCs w:val="21"/>
        </w:rPr>
        <w:t xml:space="preserve"> and maintain</w:t>
      </w:r>
      <w:r w:rsidR="00667DE9">
        <w:rPr>
          <w:rFonts w:cstheme="minorHAnsi"/>
          <w:sz w:val="21"/>
          <w:szCs w:val="21"/>
        </w:rPr>
        <w:t>s</w:t>
      </w:r>
      <w:r w:rsidR="00667DE9" w:rsidRPr="00452CEA">
        <w:rPr>
          <w:rFonts w:cstheme="minorHAnsi"/>
          <w:sz w:val="21"/>
          <w:szCs w:val="21"/>
        </w:rPr>
        <w:t xml:space="preserve"> site security</w:t>
      </w:r>
      <w:r w:rsidR="00667DE9">
        <w:rPr>
          <w:rFonts w:cstheme="minorHAnsi"/>
          <w:sz w:val="21"/>
          <w:szCs w:val="21"/>
        </w:rPr>
        <w:t>.</w:t>
      </w:r>
    </w:p>
    <w:p w14:paraId="0F416D43" w14:textId="77777777" w:rsidR="001E07FF" w:rsidRPr="001E07FF" w:rsidRDefault="001E07FF" w:rsidP="007111FF">
      <w:pPr>
        <w:pStyle w:val="Heading4"/>
        <w:spacing w:before="0"/>
        <w:jc w:val="both"/>
        <w:rPr>
          <w:rFonts w:asciiTheme="minorHAnsi" w:eastAsia="Calibri" w:hAnsiTheme="minorHAnsi"/>
          <w:color w:val="A6A6A6" w:themeColor="background1" w:themeShade="A6"/>
        </w:rPr>
      </w:pPr>
      <w:bookmarkStart w:id="2" w:name="_Hlk66540329"/>
    </w:p>
    <w:bookmarkEnd w:id="2"/>
    <w:p w14:paraId="5C094B6D" w14:textId="77777777" w:rsidR="001E07FF" w:rsidRPr="007B4C81" w:rsidRDefault="001E07FF" w:rsidP="00117C07">
      <w:pPr>
        <w:pStyle w:val="Heading4"/>
        <w:jc w:val="both"/>
        <w:rPr>
          <w:rFonts w:eastAsia="Calibri"/>
          <w:sz w:val="36"/>
          <w:szCs w:val="36"/>
        </w:rPr>
      </w:pPr>
      <w:r w:rsidRPr="007B4C81">
        <w:rPr>
          <w:rFonts w:eastAsia="Calibri"/>
          <w:sz w:val="36"/>
          <w:szCs w:val="36"/>
        </w:rPr>
        <w:t>The reviewers</w:t>
      </w:r>
    </w:p>
    <w:bookmarkEnd w:id="1"/>
    <w:p w14:paraId="6B9F7541" w14:textId="77777777" w:rsidR="001E07FF" w:rsidRPr="00B86A76" w:rsidRDefault="001E07FF" w:rsidP="00117C07">
      <w:pPr>
        <w:autoSpaceDE w:val="0"/>
        <w:autoSpaceDN w:val="0"/>
        <w:adjustRightInd w:val="0"/>
        <w:spacing w:after="120"/>
        <w:jc w:val="both"/>
        <w:rPr>
          <w:rFonts w:cstheme="minorHAnsi"/>
        </w:rPr>
      </w:pPr>
      <w:r w:rsidRPr="007B4C81">
        <w:rPr>
          <w:rFonts w:cstheme="minorHAnsi"/>
        </w:rPr>
        <w:t xml:space="preserve">The reviewers are volunteers, willing to share their insights and expertise in return for two complimentary tickets, most with practical experience in the performing arts and many with </w:t>
      </w:r>
      <w:r w:rsidRPr="00B86A76">
        <w:rPr>
          <w:rFonts w:cstheme="minorHAnsi"/>
        </w:rPr>
        <w:t>professional training and tertiary qualifications in the sector.  They are local.  They can be:</w:t>
      </w:r>
    </w:p>
    <w:p w14:paraId="5F622497" w14:textId="77777777" w:rsidR="001E07FF" w:rsidRPr="00B86A76" w:rsidRDefault="001E07FF" w:rsidP="00117C07">
      <w:pPr>
        <w:pStyle w:val="Heading4"/>
        <w:numPr>
          <w:ilvl w:val="0"/>
          <w:numId w:val="1"/>
        </w:numPr>
        <w:jc w:val="both"/>
        <w:rPr>
          <w:rFonts w:asciiTheme="minorHAnsi" w:eastAsia="Calibri" w:hAnsiTheme="minorHAnsi"/>
          <w:b/>
          <w:color w:val="auto"/>
        </w:rPr>
      </w:pPr>
      <w:r w:rsidRPr="002450D5">
        <w:rPr>
          <w:rFonts w:asciiTheme="minorHAnsi" w:eastAsia="Calibri" w:hAnsiTheme="minorHAnsi"/>
          <w:color w:val="auto"/>
          <w:sz w:val="22"/>
          <w:szCs w:val="22"/>
        </w:rPr>
        <w:t>peer-group practitioners, lecturers, teachers, graduates, students and people working outside the sector who wish to remain connected and contribute</w:t>
      </w:r>
      <w:r w:rsidRPr="00B86A76">
        <w:rPr>
          <w:rFonts w:asciiTheme="minorHAnsi" w:eastAsia="Calibri" w:hAnsiTheme="minorHAnsi"/>
          <w:color w:val="auto"/>
        </w:rPr>
        <w:t>;</w:t>
      </w:r>
    </w:p>
    <w:p w14:paraId="532296F0" w14:textId="77777777" w:rsidR="001E07FF" w:rsidRPr="007B4C81" w:rsidRDefault="001E07FF" w:rsidP="00117C07">
      <w:pPr>
        <w:pStyle w:val="ListParagraph"/>
        <w:numPr>
          <w:ilvl w:val="0"/>
          <w:numId w:val="1"/>
        </w:numPr>
        <w:autoSpaceDE w:val="0"/>
        <w:autoSpaceDN w:val="0"/>
        <w:adjustRightInd w:val="0"/>
        <w:spacing w:after="120"/>
        <w:jc w:val="both"/>
        <w:rPr>
          <w:rFonts w:cstheme="minorHAnsi"/>
        </w:rPr>
      </w:pPr>
      <w:r w:rsidRPr="007B4C81">
        <w:rPr>
          <w:rFonts w:cstheme="minorHAnsi"/>
        </w:rPr>
        <w:t xml:space="preserve">core regulars, fresh voices, those who come on board for particular festivals and specialists. </w:t>
      </w:r>
    </w:p>
    <w:p w14:paraId="7105461B" w14:textId="7B592A03" w:rsidR="001E07FF" w:rsidRDefault="001E07FF" w:rsidP="00117C07">
      <w:pPr>
        <w:autoSpaceDE w:val="0"/>
        <w:autoSpaceDN w:val="0"/>
        <w:adjustRightInd w:val="0"/>
        <w:spacing w:after="0"/>
        <w:jc w:val="both"/>
        <w:rPr>
          <w:rFonts w:cstheme="minorHAnsi"/>
        </w:rPr>
      </w:pPr>
      <w:r w:rsidRPr="007B4C81">
        <w:rPr>
          <w:rFonts w:cstheme="minorHAnsi"/>
        </w:rPr>
        <w:t>Their experience and understanding includes relevant cultures, genres, generations, gender identity and sexual orientation.</w:t>
      </w:r>
    </w:p>
    <w:p w14:paraId="26ADADCD" w14:textId="77777777" w:rsidR="00117C07" w:rsidRPr="007B4C81" w:rsidRDefault="00117C07" w:rsidP="00117C07">
      <w:pPr>
        <w:autoSpaceDE w:val="0"/>
        <w:autoSpaceDN w:val="0"/>
        <w:adjustRightInd w:val="0"/>
        <w:spacing w:after="120"/>
        <w:jc w:val="both"/>
        <w:rPr>
          <w:rFonts w:cstheme="minorHAnsi"/>
        </w:rPr>
      </w:pPr>
    </w:p>
    <w:p w14:paraId="725F809A" w14:textId="77777777" w:rsidR="001E07FF" w:rsidRPr="001E07FF" w:rsidRDefault="001E07FF" w:rsidP="00A8794F">
      <w:pPr>
        <w:pStyle w:val="Heading4"/>
        <w:spacing w:line="240" w:lineRule="auto"/>
        <w:jc w:val="both"/>
        <w:rPr>
          <w:rFonts w:eastAsia="Calibri"/>
          <w:sz w:val="36"/>
          <w:szCs w:val="36"/>
        </w:rPr>
      </w:pPr>
      <w:r w:rsidRPr="001E07FF">
        <w:rPr>
          <w:rFonts w:eastAsia="Calibri"/>
          <w:sz w:val="36"/>
          <w:szCs w:val="36"/>
        </w:rPr>
        <w:t>The Theatreview Trust</w:t>
      </w:r>
      <w:r w:rsidRPr="001E07FF">
        <w:rPr>
          <w:rFonts w:asciiTheme="minorHAnsi" w:eastAsia="Calibri" w:hAnsiTheme="minorHAnsi"/>
        </w:rPr>
        <w:t xml:space="preserve"> </w:t>
      </w:r>
    </w:p>
    <w:p w14:paraId="54D58B74" w14:textId="18D2E5AC" w:rsidR="001E07FF" w:rsidRPr="00415C79" w:rsidRDefault="00A43393" w:rsidP="00A8794F">
      <w:pPr>
        <w:spacing w:after="120"/>
        <w:jc w:val="both"/>
        <w:rPr>
          <w:rFonts w:cstheme="minorHAnsi"/>
        </w:rPr>
      </w:pPr>
      <w:r w:rsidRPr="00415C79">
        <w:rPr>
          <w:rFonts w:cstheme="minorHAnsi"/>
        </w:rPr>
        <w:t>i</w:t>
      </w:r>
      <w:r w:rsidR="001E07FF" w:rsidRPr="00415C79">
        <w:rPr>
          <w:rFonts w:cstheme="minorHAnsi"/>
        </w:rPr>
        <w:t>ncorporated, and registered in 2011 with the New Zealand Charities Commission: CC45963.</w:t>
      </w:r>
    </w:p>
    <w:p w14:paraId="1F53D68E" w14:textId="35D75F95" w:rsidR="001E07FF" w:rsidRPr="001E07FF" w:rsidRDefault="001E07FF" w:rsidP="00117C07">
      <w:pPr>
        <w:spacing w:after="0"/>
        <w:rPr>
          <w:rFonts w:cstheme="minorHAnsi"/>
          <w:sz w:val="24"/>
          <w:szCs w:val="24"/>
        </w:rPr>
      </w:pPr>
      <w:r w:rsidRPr="001E07FF">
        <w:rPr>
          <w:sz w:val="24"/>
          <w:szCs w:val="24"/>
        </w:rPr>
        <w:t xml:space="preserve">As at </w:t>
      </w:r>
      <w:r w:rsidR="00A45174">
        <w:rPr>
          <w:sz w:val="24"/>
          <w:szCs w:val="24"/>
        </w:rPr>
        <w:t xml:space="preserve">31 </w:t>
      </w:r>
      <w:r>
        <w:rPr>
          <w:sz w:val="24"/>
          <w:szCs w:val="24"/>
        </w:rPr>
        <w:t xml:space="preserve">March </w:t>
      </w:r>
      <w:r w:rsidRPr="001E07FF">
        <w:rPr>
          <w:sz w:val="24"/>
          <w:szCs w:val="24"/>
        </w:rPr>
        <w:t>202</w:t>
      </w:r>
      <w:r>
        <w:rPr>
          <w:sz w:val="24"/>
          <w:szCs w:val="24"/>
        </w:rPr>
        <w:t>2</w:t>
      </w:r>
      <w:r w:rsidRPr="001E07FF">
        <w:rPr>
          <w:sz w:val="24"/>
          <w:szCs w:val="24"/>
        </w:rPr>
        <w:t xml:space="preserve"> t</w:t>
      </w:r>
      <w:r w:rsidRPr="001E07FF">
        <w:rPr>
          <w:rFonts w:cstheme="minorHAnsi"/>
          <w:sz w:val="24"/>
          <w:szCs w:val="24"/>
        </w:rPr>
        <w:t>he Trustees are:</w:t>
      </w:r>
    </w:p>
    <w:p w14:paraId="7B784531" w14:textId="0C4462C6" w:rsidR="001E07FF" w:rsidRPr="001E07FF" w:rsidRDefault="001E07FF" w:rsidP="00117C07">
      <w:pPr>
        <w:spacing w:after="0"/>
        <w:rPr>
          <w:rFonts w:cstheme="minorHAnsi"/>
          <w:sz w:val="24"/>
          <w:szCs w:val="24"/>
        </w:rPr>
      </w:pPr>
      <w:r w:rsidRPr="001E07FF">
        <w:rPr>
          <w:rFonts w:cstheme="minorHAnsi"/>
          <w:b/>
          <w:sz w:val="24"/>
          <w:szCs w:val="24"/>
        </w:rPr>
        <w:t xml:space="preserve">Dawn Sanders </w:t>
      </w:r>
      <w:r w:rsidRPr="001E07FF">
        <w:t>ONZM, QSM</w:t>
      </w:r>
      <w:r w:rsidRPr="001E07FF">
        <w:rPr>
          <w:rFonts w:cstheme="minorHAnsi"/>
          <w:sz w:val="24"/>
          <w:szCs w:val="24"/>
        </w:rPr>
        <w:t>: Chair</w:t>
      </w:r>
      <w:r w:rsidR="00A43393">
        <w:rPr>
          <w:rFonts w:cstheme="minorHAnsi"/>
          <w:sz w:val="24"/>
          <w:szCs w:val="24"/>
        </w:rPr>
        <w:t xml:space="preserve">; </w:t>
      </w:r>
      <w:r w:rsidRPr="001E07FF">
        <w:rPr>
          <w:rFonts w:cstheme="minorHAnsi"/>
          <w:b/>
          <w:sz w:val="24"/>
          <w:szCs w:val="24"/>
        </w:rPr>
        <w:t>Marjorie McKee</w:t>
      </w:r>
      <w:r w:rsidRPr="001E07FF">
        <w:rPr>
          <w:rFonts w:cstheme="minorHAnsi"/>
          <w:sz w:val="24"/>
          <w:szCs w:val="24"/>
        </w:rPr>
        <w:t>: Treasurer</w:t>
      </w:r>
      <w:r w:rsidR="00A43393">
        <w:rPr>
          <w:rFonts w:cstheme="minorHAnsi"/>
          <w:sz w:val="24"/>
          <w:szCs w:val="24"/>
        </w:rPr>
        <w:t xml:space="preserve">; </w:t>
      </w:r>
      <w:r w:rsidRPr="001E07FF">
        <w:rPr>
          <w:rFonts w:cstheme="minorHAnsi"/>
          <w:b/>
          <w:sz w:val="24"/>
          <w:szCs w:val="24"/>
        </w:rPr>
        <w:t xml:space="preserve">Bette Cosgrove, Sally Thorburn, John Smythe, </w:t>
      </w:r>
      <w:r w:rsidRPr="001E07FF">
        <w:rPr>
          <w:rFonts w:cstheme="minorHAnsi"/>
          <w:b/>
          <w:bCs/>
          <w:sz w:val="24"/>
          <w:szCs w:val="24"/>
        </w:rPr>
        <w:t>L</w:t>
      </w:r>
      <w:r w:rsidRPr="001E07FF">
        <w:rPr>
          <w:rFonts w:cstheme="minorHAnsi"/>
          <w:b/>
          <w:sz w:val="24"/>
          <w:szCs w:val="24"/>
        </w:rPr>
        <w:t>yne Pringle</w:t>
      </w:r>
      <w:r w:rsidR="00A43393">
        <w:rPr>
          <w:rFonts w:cstheme="minorHAnsi"/>
          <w:sz w:val="24"/>
          <w:szCs w:val="24"/>
        </w:rPr>
        <w:t>.</w:t>
      </w:r>
    </w:p>
    <w:p w14:paraId="2E10FAD7" w14:textId="77777777" w:rsidR="001E07FF" w:rsidRPr="001E07FF" w:rsidRDefault="001E07FF" w:rsidP="00117C07">
      <w:pPr>
        <w:spacing w:after="0"/>
        <w:rPr>
          <w:rFonts w:cstheme="minorHAnsi"/>
          <w:iCs/>
        </w:rPr>
      </w:pPr>
    </w:p>
    <w:p w14:paraId="5C73C3CD" w14:textId="4126ACBA" w:rsidR="001E07FF" w:rsidRPr="001E07FF" w:rsidRDefault="001E07FF" w:rsidP="00117C07">
      <w:pPr>
        <w:pStyle w:val="Heading4"/>
        <w:rPr>
          <w:rFonts w:eastAsia="Calibri"/>
          <w:sz w:val="36"/>
          <w:szCs w:val="36"/>
        </w:rPr>
      </w:pPr>
      <w:r w:rsidRPr="001E07FF">
        <w:rPr>
          <w:rFonts w:eastAsia="Calibri"/>
          <w:sz w:val="36"/>
          <w:szCs w:val="36"/>
        </w:rPr>
        <w:t>The funders</w:t>
      </w:r>
      <w:r w:rsidR="004548C9">
        <w:rPr>
          <w:rFonts w:eastAsia="Calibri"/>
          <w:sz w:val="36"/>
          <w:szCs w:val="36"/>
        </w:rPr>
        <w:t xml:space="preserve"> in 2021-22 – with many thanks</w:t>
      </w:r>
    </w:p>
    <w:p w14:paraId="1D2C750E" w14:textId="7CC014E5" w:rsidR="001E07FF" w:rsidRPr="001E07FF" w:rsidRDefault="001E07FF" w:rsidP="00117C07">
      <w:pPr>
        <w:spacing w:after="0"/>
        <w:rPr>
          <w:color w:val="A6A6A6" w:themeColor="background1" w:themeShade="A6"/>
        </w:rPr>
      </w:pPr>
      <w:r w:rsidRPr="001E07FF">
        <w:rPr>
          <w:noProof/>
        </w:rPr>
        <mc:AlternateContent>
          <mc:Choice Requires="wps">
            <w:drawing>
              <wp:anchor distT="45720" distB="45720" distL="114300" distR="114300" simplePos="0" relativeHeight="251659264" behindDoc="0" locked="0" layoutInCell="1" allowOverlap="1" wp14:anchorId="14532972" wp14:editId="064040C1">
                <wp:simplePos x="0" y="0"/>
                <wp:positionH relativeFrom="column">
                  <wp:posOffset>828675</wp:posOffset>
                </wp:positionH>
                <wp:positionV relativeFrom="paragraph">
                  <wp:posOffset>118110</wp:posOffset>
                </wp:positionV>
                <wp:extent cx="1228725" cy="3048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4A27B8" w14:textId="77777777" w:rsidR="001E07FF" w:rsidRPr="00C0011D" w:rsidRDefault="001E07FF" w:rsidP="001E07FF">
                            <w:pPr>
                              <w:jc w:val="center"/>
                              <w:rPr>
                                <w:b/>
                                <w:bCs/>
                                <w:sz w:val="28"/>
                                <w:szCs w:val="28"/>
                              </w:rPr>
                            </w:pPr>
                            <w:r w:rsidRPr="00C0011D">
                              <w:rPr>
                                <w:b/>
                                <w:bCs/>
                                <w:sz w:val="28"/>
                                <w:szCs w:val="28"/>
                              </w:rPr>
                              <w:t>Our donors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2972" id="_x0000_t202" coordsize="21600,21600" o:spt="202" path="m,l,21600r21600,l21600,xe">
                <v:stroke joinstyle="miter"/>
                <v:path gradientshapeok="t" o:connecttype="rect"/>
              </v:shapetype>
              <v:shape id="Text Box 217" o:spid="_x0000_s1026" type="#_x0000_t202" style="position:absolute;margin-left:65.25pt;margin-top:9.3pt;width:96.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" fillcolor="white [3201]" strokecolor="#4472c4 [3204]" strokeweight="1pt">
                <v:textbox>
                  <w:txbxContent>
                    <w:p w14:paraId="0E4A27B8" w14:textId="77777777" w:rsidR="001E07FF" w:rsidRPr="00C0011D" w:rsidRDefault="001E07FF" w:rsidP="001E07FF">
                      <w:pPr>
                        <w:jc w:val="center"/>
                        <w:rPr>
                          <w:b/>
                          <w:bCs/>
                          <w:sz w:val="28"/>
                          <w:szCs w:val="28"/>
                        </w:rPr>
                      </w:pPr>
                      <w:r w:rsidRPr="00C0011D">
                        <w:rPr>
                          <w:b/>
                          <w:bCs/>
                          <w:sz w:val="28"/>
                          <w:szCs w:val="28"/>
                        </w:rPr>
                        <w:t>Our donors</w:t>
                      </w:r>
                    </w:p>
                  </w:txbxContent>
                </v:textbox>
                <w10:wrap type="square"/>
              </v:shape>
            </w:pict>
          </mc:Fallback>
        </mc:AlternateContent>
      </w:r>
      <w:r w:rsidRPr="001E07FF">
        <w:rPr>
          <w:noProof/>
        </w:rPr>
        <w:drawing>
          <wp:inline distT="0" distB="0" distL="0" distR="0" wp14:anchorId="5569C6D7" wp14:editId="3DBAE10B">
            <wp:extent cx="144780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r w:rsidRPr="001E07FF">
        <w:t xml:space="preserve"> </w:t>
      </w:r>
      <w:r w:rsidR="00DB5BAA">
        <w:rPr>
          <w:noProof/>
        </w:rPr>
        <w:drawing>
          <wp:inline distT="0" distB="0" distL="0" distR="0" wp14:anchorId="3090E96F" wp14:editId="175962B6">
            <wp:extent cx="1085850" cy="380047"/>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868" cy="389853"/>
                    </a:xfrm>
                    <a:prstGeom prst="rect">
                      <a:avLst/>
                    </a:prstGeom>
                    <a:noFill/>
                    <a:ln>
                      <a:noFill/>
                    </a:ln>
                  </pic:spPr>
                </pic:pic>
              </a:graphicData>
            </a:graphic>
          </wp:inline>
        </w:drawing>
      </w:r>
    </w:p>
    <w:p w14:paraId="4A292B8E" w14:textId="77777777" w:rsidR="004548C9" w:rsidRPr="00CA5CA9" w:rsidRDefault="004548C9" w:rsidP="00117C07">
      <w:pPr>
        <w:pStyle w:val="Heading4"/>
        <w:rPr>
          <w:rFonts w:eastAsia="Calibri" w:cs="Times New Roman"/>
          <w:sz w:val="22"/>
          <w:szCs w:val="22"/>
        </w:rPr>
      </w:pPr>
    </w:p>
    <w:p w14:paraId="4D935282" w14:textId="56E5D4FF" w:rsidR="001E07FF" w:rsidRPr="007B4C81" w:rsidRDefault="001E07FF" w:rsidP="001E07FF">
      <w:pPr>
        <w:pStyle w:val="Heading4"/>
        <w:rPr>
          <w:rFonts w:eastAsia="Calibri" w:cs="Times New Roman"/>
          <w:sz w:val="36"/>
          <w:szCs w:val="36"/>
        </w:rPr>
      </w:pPr>
      <w:r w:rsidRPr="007B4C81">
        <w:rPr>
          <w:rFonts w:eastAsia="Calibri" w:cs="Times New Roman"/>
          <w:sz w:val="36"/>
          <w:szCs w:val="36"/>
        </w:rPr>
        <w:t>Some of the supporters over 202</w:t>
      </w:r>
      <w:r w:rsidR="007B4C81" w:rsidRPr="007B4C81">
        <w:rPr>
          <w:rFonts w:eastAsia="Calibri" w:cs="Times New Roman"/>
          <w:sz w:val="36"/>
          <w:szCs w:val="36"/>
        </w:rPr>
        <w:t>1</w:t>
      </w:r>
      <w:r w:rsidRPr="007B4C81">
        <w:rPr>
          <w:rFonts w:eastAsia="Calibri" w:cs="Times New Roman"/>
          <w:sz w:val="36"/>
          <w:szCs w:val="36"/>
        </w:rPr>
        <w:t xml:space="preserve"> and recently</w:t>
      </w:r>
    </w:p>
    <w:p w14:paraId="14E39210" w14:textId="7D1488F0" w:rsidR="00270F81" w:rsidRPr="000D77CE" w:rsidRDefault="00270F81" w:rsidP="000D77CE">
      <w:pPr>
        <w:pStyle w:val="BodyText3"/>
        <w:spacing w:after="0"/>
        <w:ind w:left="567"/>
        <w:rPr>
          <w:rFonts w:cstheme="minorHAnsi"/>
          <w:i w:val="0"/>
          <w:iCs/>
        </w:rPr>
      </w:pPr>
      <w:r w:rsidRPr="000D77CE">
        <w:rPr>
          <w:rFonts w:cstheme="minorHAnsi"/>
          <w:i w:val="0"/>
          <w:iCs/>
        </w:rPr>
        <w:t xml:space="preserve">Theatreview is an indispensable tool for theatre audiences, practitioners, drama teachers and students at all levels of secondary and tertiary education. </w:t>
      </w:r>
      <w:proofErr w:type="spellStart"/>
      <w:r w:rsidRPr="000D77CE">
        <w:rPr>
          <w:rFonts w:cstheme="minorHAnsi"/>
          <w:i w:val="0"/>
          <w:iCs/>
        </w:rPr>
        <w:t>Theatreview’s</w:t>
      </w:r>
      <w:proofErr w:type="spellEnd"/>
      <w:r w:rsidRPr="000D77CE">
        <w:rPr>
          <w:rFonts w:cstheme="minorHAnsi"/>
          <w:i w:val="0"/>
          <w:iCs/>
        </w:rPr>
        <w:t xml:space="preserve"> comprehensive reviewing of theatre and dance across the country (and relevant overseas productions as well) has created a massive archive of New Zealand theatre which no other organisation can match. The website has maintained a platform for discussion of individual productions as well as many issues of wide-ranging significance to the health and sustainability of the theatre profession in New Zealand. Theatreview plays a vital role in disseminating information and discussion about theatre and dance, and if the site were to be taken down, it would be a massive loss to the profession and to the public interest. As an almost daily user of Theatreview, I am impressed by the professional way in which it is run. Reviews by </w:t>
      </w:r>
      <w:proofErr w:type="spellStart"/>
      <w:r w:rsidRPr="000D77CE">
        <w:rPr>
          <w:rFonts w:cstheme="minorHAnsi"/>
          <w:i w:val="0"/>
          <w:iCs/>
        </w:rPr>
        <w:t>Theatreview’s</w:t>
      </w:r>
      <w:proofErr w:type="spellEnd"/>
      <w:r w:rsidRPr="000D77CE">
        <w:rPr>
          <w:rFonts w:cstheme="minorHAnsi"/>
          <w:i w:val="0"/>
          <w:iCs/>
        </w:rPr>
        <w:t xml:space="preserve"> in-house reviewers are always posted in a very timely fashion, usually coming out before reviews in other media. Information about forthcoming events, job vacancies, new </w:t>
      </w:r>
      <w:r w:rsidRPr="000D77CE">
        <w:rPr>
          <w:rFonts w:cstheme="minorHAnsi"/>
          <w:i w:val="0"/>
          <w:iCs/>
        </w:rPr>
        <w:lastRenderedPageBreak/>
        <w:t xml:space="preserve">appointments, obituaries and numerous other significant events is professionally collated and disseminated. There is no other organisation or publication that does this work for the theatre community. In my role as a university teacher, I see the vast benefits that Theatreview brings to students and postgraduate researchers. The website enables students to research widely about particular playwrights, actors, directors and forms of theatre. Students sometimes join in </w:t>
      </w:r>
      <w:proofErr w:type="spellStart"/>
      <w:r w:rsidRPr="000D77CE">
        <w:rPr>
          <w:rFonts w:cstheme="minorHAnsi"/>
          <w:i w:val="0"/>
          <w:iCs/>
        </w:rPr>
        <w:t>Theatreview’s</w:t>
      </w:r>
      <w:proofErr w:type="spellEnd"/>
      <w:r w:rsidRPr="000D77CE">
        <w:rPr>
          <w:rFonts w:cstheme="minorHAnsi"/>
          <w:i w:val="0"/>
          <w:iCs/>
        </w:rPr>
        <w:t xml:space="preserve"> debates about controversial productions, and such debates have become the topic of heated tutorial discussion in the past. Young people engage enthusiastically in the on-line forum that Theatreview facilitates. The democratic basis on which Theatreview enables audiences to participate in public critical debates provides a unique forum and increases the relevance of live theatre among young people and in the wider community. Essays and theses on New Zealand theatre are often constructed around review quotes sourced from Theatreview. Some of our graduates from the Theatre Programme have themselves become reviewers for Theatreview. I often see quotes from Theatreview reviews in scholarly publications, as well as in funding applications for individuals and theatre companies. In my work as a researcher, I use the Theatreview archive when writing articles about New Zealand theatre. I know that many of my colleagues do the same. There are still many significant gaps in the writing of New Zealand theatre history, and the continuity of Theatreview is essential to this history being preserved, debated and analysed. However, on-line archiving is extremely fragile, and needs to be protected by further official recognition and funding.</w:t>
      </w:r>
    </w:p>
    <w:p w14:paraId="17D6555A" w14:textId="22B6A384" w:rsidR="00270F81" w:rsidRPr="00E0596E" w:rsidRDefault="00270F81" w:rsidP="000D77CE">
      <w:pPr>
        <w:pStyle w:val="BodyText3"/>
        <w:spacing w:after="120"/>
        <w:ind w:left="567"/>
        <w:rPr>
          <w:rFonts w:cstheme="minorHAnsi"/>
        </w:rPr>
      </w:pPr>
      <w:r w:rsidRPr="00E0596E">
        <w:rPr>
          <w:rFonts w:cstheme="minorHAnsi"/>
          <w:b/>
          <w:bCs/>
          <w:i w:val="0"/>
          <w:iCs/>
        </w:rPr>
        <w:t>David O’Donnell</w:t>
      </w:r>
      <w:r w:rsidR="00E0596E">
        <w:rPr>
          <w:rFonts w:cstheme="minorHAnsi"/>
          <w:b/>
          <w:bCs/>
          <w:i w:val="0"/>
          <w:iCs/>
        </w:rPr>
        <w:t xml:space="preserve">, </w:t>
      </w:r>
      <w:r w:rsidR="00E0596E" w:rsidRPr="00E0596E">
        <w:rPr>
          <w:rFonts w:cstheme="minorHAnsi"/>
          <w:b/>
          <w:bCs/>
          <w:i w:val="0"/>
          <w:iCs/>
        </w:rPr>
        <w:t>Professor of Theatre</w:t>
      </w:r>
      <w:r w:rsidR="00E0596E">
        <w:rPr>
          <w:rFonts w:cstheme="minorHAnsi"/>
          <w:b/>
          <w:bCs/>
          <w:i w:val="0"/>
          <w:iCs/>
        </w:rPr>
        <w:t>,</w:t>
      </w:r>
      <w:r w:rsidR="00E0596E" w:rsidRPr="00E0596E">
        <w:rPr>
          <w:rFonts w:cstheme="minorHAnsi"/>
          <w:b/>
          <w:bCs/>
          <w:i w:val="0"/>
          <w:iCs/>
        </w:rPr>
        <w:t xml:space="preserve"> Te Herenga Waka/Victoria University of Wellington</w:t>
      </w:r>
      <w:r w:rsidR="00E0596E">
        <w:rPr>
          <w:rFonts w:cstheme="minorHAnsi"/>
          <w:b/>
          <w:bCs/>
          <w:i w:val="0"/>
          <w:iCs/>
        </w:rPr>
        <w:t xml:space="preserve"> </w:t>
      </w:r>
      <w:r w:rsidR="00E0596E" w:rsidRPr="000D77CE">
        <w:rPr>
          <w:rFonts w:cstheme="minorHAnsi"/>
          <w:sz w:val="20"/>
          <w:szCs w:val="20"/>
        </w:rPr>
        <w:t>2021</w:t>
      </w:r>
    </w:p>
    <w:p w14:paraId="27D11673" w14:textId="79673139" w:rsidR="001E07FF" w:rsidRPr="000D77CE" w:rsidRDefault="001E07FF" w:rsidP="000D77CE">
      <w:pPr>
        <w:pStyle w:val="BodyText3"/>
        <w:spacing w:after="0"/>
        <w:ind w:left="567"/>
        <w:rPr>
          <w:rFonts w:cstheme="minorHAnsi"/>
          <w:i w:val="0"/>
          <w:iCs/>
        </w:rPr>
      </w:pPr>
      <w:r w:rsidRPr="000D77CE">
        <w:rPr>
          <w:rFonts w:cstheme="minorHAnsi"/>
          <w:i w:val="0"/>
          <w:iCs/>
        </w:rPr>
        <w:t xml:space="preserve">Theatreview is a … resource bar none.  The inventiveness and energy of this agency and the dedication to the theatre arts is outstanding.  Regionally during the lockdown period, Theatreview kept patrons and interested parties…in touch with virtual activities and radio plays.  In </w:t>
      </w:r>
      <w:proofErr w:type="gramStart"/>
      <w:r w:rsidRPr="000D77CE">
        <w:rPr>
          <w:rFonts w:cstheme="minorHAnsi"/>
          <w:i w:val="0"/>
          <w:iCs/>
        </w:rPr>
        <w:t>addition</w:t>
      </w:r>
      <w:proofErr w:type="gramEnd"/>
      <w:r w:rsidRPr="000D77CE">
        <w:rPr>
          <w:rFonts w:cstheme="minorHAnsi"/>
          <w:i w:val="0"/>
          <w:iCs/>
        </w:rPr>
        <w:t xml:space="preserve"> the agency has developed a regional network of top shelf reviewers and contributors and continues to be the gold standard for quality and reach…The archive is invaluable, recording theatre productions the length of the country.</w:t>
      </w:r>
    </w:p>
    <w:p w14:paraId="1B570FB9" w14:textId="77777777" w:rsidR="001E07FF" w:rsidRPr="00270F81" w:rsidRDefault="001E07FF" w:rsidP="000D77CE">
      <w:pPr>
        <w:spacing w:after="120"/>
        <w:ind w:left="567"/>
        <w:rPr>
          <w:rFonts w:cstheme="minorHAnsi"/>
          <w:b/>
        </w:rPr>
      </w:pPr>
      <w:r w:rsidRPr="00270F81">
        <w:rPr>
          <w:rFonts w:cstheme="minorHAnsi"/>
          <w:b/>
        </w:rPr>
        <w:t xml:space="preserve">Steve Thomas, Executive Producer, Trick of the Light </w:t>
      </w:r>
      <w:r w:rsidRPr="00270F81">
        <w:rPr>
          <w:rFonts w:cstheme="minorHAnsi"/>
          <w:bCs/>
          <w:i/>
          <w:iCs/>
          <w:sz w:val="20"/>
          <w:szCs w:val="20"/>
        </w:rPr>
        <w:t>2020</w:t>
      </w:r>
    </w:p>
    <w:p w14:paraId="7602ECCB" w14:textId="77777777" w:rsidR="001E07FF" w:rsidRPr="000D77CE" w:rsidRDefault="001E07FF" w:rsidP="000D77CE">
      <w:pPr>
        <w:spacing w:after="0"/>
        <w:ind w:left="567"/>
        <w:rPr>
          <w:rFonts w:cstheme="minorHAnsi"/>
          <w:b/>
          <w:iCs/>
        </w:rPr>
      </w:pPr>
      <w:r w:rsidRPr="000D77CE">
        <w:rPr>
          <w:rFonts w:cstheme="minorHAnsi"/>
          <w:iCs/>
        </w:rPr>
        <w:t xml:space="preserve">Through the </w:t>
      </w:r>
      <w:proofErr w:type="gramStart"/>
      <w:r w:rsidRPr="000D77CE">
        <w:rPr>
          <w:rFonts w:cstheme="minorHAnsi"/>
          <w:iCs/>
        </w:rPr>
        <w:t>ever growing</w:t>
      </w:r>
      <w:proofErr w:type="gramEnd"/>
      <w:r w:rsidRPr="000D77CE">
        <w:rPr>
          <w:rFonts w:cstheme="minorHAnsi"/>
          <w:iCs/>
        </w:rPr>
        <w:t xml:space="preserve"> archive on Theatreview we have a potted history of our productions and our continued presence as part of the Wellington and New Zealand theatre scene, this provides a unique historical record, one not captured anywhere else</w:t>
      </w:r>
      <w:r w:rsidRPr="000D77CE">
        <w:rPr>
          <w:rFonts w:cstheme="minorHAnsi"/>
          <w:b/>
          <w:iCs/>
        </w:rPr>
        <w:t xml:space="preserve">.  </w:t>
      </w:r>
      <w:r w:rsidRPr="000D77CE">
        <w:rPr>
          <w:iCs/>
        </w:rPr>
        <w:t>Part of our company ethos is to tour: testing our work on the road, and finding new audiences outside the main centres of Auckland, Wellington and Christchurch. Many of the places we have taken our shows Theatreview has provided the only possible platform for a review – the website is unparalleled in its scope across the country. Reviews are a key part of the eco-structure for theatre and live performance, and Theatreview is an essential resource for reviews within New Zealand.</w:t>
      </w:r>
    </w:p>
    <w:p w14:paraId="6943179D" w14:textId="77777777" w:rsidR="001E07FF" w:rsidRPr="00270F81" w:rsidRDefault="001E07FF" w:rsidP="000D77CE">
      <w:pPr>
        <w:spacing w:after="120"/>
        <w:ind w:left="567"/>
        <w:rPr>
          <w:rFonts w:cstheme="minorHAnsi"/>
          <w:b/>
        </w:rPr>
      </w:pPr>
      <w:r w:rsidRPr="00270F81">
        <w:rPr>
          <w:rFonts w:cstheme="minorHAnsi"/>
          <w:b/>
        </w:rPr>
        <w:t xml:space="preserve">Hannah Smith and Ralph McCubbin Howell, Trick of the Light Theatre </w:t>
      </w:r>
      <w:r w:rsidRPr="00270F81">
        <w:rPr>
          <w:rFonts w:cstheme="minorHAnsi"/>
          <w:bCs/>
          <w:i/>
          <w:iCs/>
          <w:sz w:val="20"/>
          <w:szCs w:val="20"/>
        </w:rPr>
        <w:t>2020</w:t>
      </w:r>
    </w:p>
    <w:p w14:paraId="4DEDC337" w14:textId="77777777" w:rsidR="001E07FF" w:rsidRPr="000D77CE" w:rsidRDefault="001E07FF" w:rsidP="000D77CE">
      <w:pPr>
        <w:pStyle w:val="BodyText3"/>
        <w:spacing w:after="0"/>
        <w:ind w:left="567"/>
        <w:rPr>
          <w:rFonts w:cstheme="minorHAnsi"/>
          <w:i w:val="0"/>
          <w:iCs/>
        </w:rPr>
      </w:pPr>
      <w:r w:rsidRPr="000D77CE">
        <w:rPr>
          <w:rFonts w:cstheme="minorHAnsi"/>
          <w:i w:val="0"/>
          <w:iCs/>
        </w:rPr>
        <w:t>Having invested in the audience atlas and the work around audience development. We know there is a sector of our audiences that relish the literary follow-up.  Theatreview assist[s] us in providing some of this follow-up…allowing the audience to become involved in forums of discussion… With many local newspapers ceasing to exist, and theatre reviews being removed from greater view, we are more than ever reliant on Theatreview to connect us to the world and provide feedback on our work.  Theatreview provides more than just reviews.  It is the only managed hub (where) we can formally express opinions and ask to be taken seriously.</w:t>
      </w:r>
    </w:p>
    <w:p w14:paraId="482D08C0" w14:textId="5DCCD4FE" w:rsidR="00B66F3C" w:rsidRDefault="001E07FF" w:rsidP="000D77CE">
      <w:pPr>
        <w:spacing w:after="120"/>
        <w:ind w:left="567"/>
      </w:pPr>
      <w:r w:rsidRPr="00270F81">
        <w:rPr>
          <w:b/>
          <w:noProof/>
          <w:sz w:val="24"/>
          <w:szCs w:val="24"/>
          <w:lang w:eastAsia="en-NZ"/>
        </w:rPr>
        <w:t>Kate Louise Elliott, General Manager, Centr</w:t>
      </w:r>
      <w:r w:rsidR="007111FF">
        <w:rPr>
          <w:b/>
          <w:noProof/>
          <w:sz w:val="24"/>
          <w:szCs w:val="24"/>
          <w:lang w:eastAsia="en-NZ"/>
        </w:rPr>
        <w:t>e</w:t>
      </w:r>
      <w:r w:rsidRPr="00270F81">
        <w:rPr>
          <w:b/>
          <w:noProof/>
          <w:sz w:val="24"/>
          <w:szCs w:val="24"/>
          <w:lang w:eastAsia="en-NZ"/>
        </w:rPr>
        <w:t xml:space="preserve">point Theatre </w:t>
      </w:r>
      <w:r w:rsidRPr="00270F81">
        <w:rPr>
          <w:bCs/>
          <w:i/>
          <w:iCs/>
          <w:noProof/>
          <w:sz w:val="20"/>
          <w:szCs w:val="20"/>
          <w:lang w:eastAsia="en-NZ"/>
        </w:rPr>
        <w:t>2018</w:t>
      </w:r>
    </w:p>
    <w:sectPr w:rsidR="00B66F3C" w:rsidSect="00CA5CA9">
      <w:foot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8B68" w14:textId="77777777" w:rsidR="00FD62BC" w:rsidRDefault="00FD62BC" w:rsidP="00AF3ECA">
      <w:pPr>
        <w:spacing w:after="0" w:line="240" w:lineRule="auto"/>
      </w:pPr>
      <w:r>
        <w:separator/>
      </w:r>
    </w:p>
  </w:endnote>
  <w:endnote w:type="continuationSeparator" w:id="0">
    <w:p w14:paraId="6302EAB1" w14:textId="77777777" w:rsidR="00FD62BC" w:rsidRDefault="00FD62BC" w:rsidP="00AF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C40E" w14:textId="44875D9F" w:rsidR="00AF3ECA" w:rsidRPr="00AF3ECA" w:rsidRDefault="00AF3ECA" w:rsidP="00AF3ECA">
    <w:pPr>
      <w:pStyle w:val="Footer"/>
      <w:jc w:val="right"/>
      <w:rPr>
        <w:i/>
        <w:iCs/>
        <w:sz w:val="20"/>
        <w:szCs w:val="20"/>
      </w:rPr>
    </w:pPr>
    <w:r w:rsidRPr="00AF3ECA">
      <w:rPr>
        <w:i/>
        <w:iCs/>
        <w:sz w:val="20"/>
        <w:szCs w:val="20"/>
      </w:rPr>
      <w:t>Theatreview 1 April 2021 to 31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D2C5" w14:textId="77777777" w:rsidR="00FD62BC" w:rsidRDefault="00FD62BC" w:rsidP="00AF3ECA">
      <w:pPr>
        <w:spacing w:after="0" w:line="240" w:lineRule="auto"/>
      </w:pPr>
      <w:r>
        <w:separator/>
      </w:r>
    </w:p>
  </w:footnote>
  <w:footnote w:type="continuationSeparator" w:id="0">
    <w:p w14:paraId="584B205E" w14:textId="77777777" w:rsidR="00FD62BC" w:rsidRDefault="00FD62BC" w:rsidP="00AF3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1090B"/>
    <w:multiLevelType w:val="hybridMultilevel"/>
    <w:tmpl w:val="A9C810D0"/>
    <w:lvl w:ilvl="0" w:tplc="8930575A">
      <w:numFmt w:val="bullet"/>
      <w:lvlText w:val="-"/>
      <w:lvlJc w:val="left"/>
      <w:pPr>
        <w:ind w:left="420" w:hanging="360"/>
      </w:pPr>
      <w:rPr>
        <w:rFonts w:ascii="Calibri" w:eastAsia="Calibri" w:hAnsi="Calibri" w:cs="Calibri" w:hint="default"/>
      </w:rPr>
    </w:lvl>
    <w:lvl w:ilvl="1" w:tplc="14090003">
      <w:start w:val="1"/>
      <w:numFmt w:val="bullet"/>
      <w:lvlText w:val="o"/>
      <w:lvlJc w:val="left"/>
      <w:pPr>
        <w:ind w:left="1140" w:hanging="360"/>
      </w:pPr>
      <w:rPr>
        <w:rFonts w:ascii="Courier New" w:hAnsi="Courier New" w:cs="Courier New" w:hint="default"/>
      </w:rPr>
    </w:lvl>
    <w:lvl w:ilvl="2" w:tplc="14090005">
      <w:start w:val="1"/>
      <w:numFmt w:val="bullet"/>
      <w:lvlText w:val=""/>
      <w:lvlJc w:val="left"/>
      <w:pPr>
        <w:ind w:left="1860" w:hanging="360"/>
      </w:pPr>
      <w:rPr>
        <w:rFonts w:ascii="Wingdings" w:hAnsi="Wingdings" w:hint="default"/>
      </w:rPr>
    </w:lvl>
    <w:lvl w:ilvl="3" w:tplc="14090001">
      <w:start w:val="1"/>
      <w:numFmt w:val="bullet"/>
      <w:lvlText w:val=""/>
      <w:lvlJc w:val="left"/>
      <w:pPr>
        <w:ind w:left="2580" w:hanging="360"/>
      </w:pPr>
      <w:rPr>
        <w:rFonts w:ascii="Symbol" w:hAnsi="Symbol" w:hint="default"/>
      </w:rPr>
    </w:lvl>
    <w:lvl w:ilvl="4" w:tplc="14090003">
      <w:start w:val="1"/>
      <w:numFmt w:val="bullet"/>
      <w:lvlText w:val="o"/>
      <w:lvlJc w:val="left"/>
      <w:pPr>
        <w:ind w:left="3300" w:hanging="360"/>
      </w:pPr>
      <w:rPr>
        <w:rFonts w:ascii="Courier New" w:hAnsi="Courier New" w:cs="Courier New" w:hint="default"/>
      </w:rPr>
    </w:lvl>
    <w:lvl w:ilvl="5" w:tplc="14090005">
      <w:start w:val="1"/>
      <w:numFmt w:val="bullet"/>
      <w:lvlText w:val=""/>
      <w:lvlJc w:val="left"/>
      <w:pPr>
        <w:ind w:left="4020" w:hanging="360"/>
      </w:pPr>
      <w:rPr>
        <w:rFonts w:ascii="Wingdings" w:hAnsi="Wingdings" w:hint="default"/>
      </w:rPr>
    </w:lvl>
    <w:lvl w:ilvl="6" w:tplc="14090001">
      <w:start w:val="1"/>
      <w:numFmt w:val="bullet"/>
      <w:lvlText w:val=""/>
      <w:lvlJc w:val="left"/>
      <w:pPr>
        <w:ind w:left="4740" w:hanging="360"/>
      </w:pPr>
      <w:rPr>
        <w:rFonts w:ascii="Symbol" w:hAnsi="Symbol" w:hint="default"/>
      </w:rPr>
    </w:lvl>
    <w:lvl w:ilvl="7" w:tplc="14090003">
      <w:start w:val="1"/>
      <w:numFmt w:val="bullet"/>
      <w:lvlText w:val="o"/>
      <w:lvlJc w:val="left"/>
      <w:pPr>
        <w:ind w:left="5460" w:hanging="360"/>
      </w:pPr>
      <w:rPr>
        <w:rFonts w:ascii="Courier New" w:hAnsi="Courier New" w:cs="Courier New" w:hint="default"/>
      </w:rPr>
    </w:lvl>
    <w:lvl w:ilvl="8" w:tplc="14090005">
      <w:start w:val="1"/>
      <w:numFmt w:val="bullet"/>
      <w:lvlText w:val=""/>
      <w:lvlJc w:val="left"/>
      <w:pPr>
        <w:ind w:left="6180" w:hanging="360"/>
      </w:pPr>
      <w:rPr>
        <w:rFonts w:ascii="Wingdings" w:hAnsi="Wingdings" w:hint="default"/>
      </w:rPr>
    </w:lvl>
  </w:abstractNum>
  <w:num w:numId="1" w16cid:durableId="95305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E4"/>
    <w:rsid w:val="000413E3"/>
    <w:rsid w:val="00066B80"/>
    <w:rsid w:val="000826DE"/>
    <w:rsid w:val="000867B6"/>
    <w:rsid w:val="0009241E"/>
    <w:rsid w:val="00097AB5"/>
    <w:rsid w:val="000C0727"/>
    <w:rsid w:val="000C4A5E"/>
    <w:rsid w:val="000D3A13"/>
    <w:rsid w:val="000D77CE"/>
    <w:rsid w:val="000E0174"/>
    <w:rsid w:val="000E3F0C"/>
    <w:rsid w:val="00101C88"/>
    <w:rsid w:val="00104825"/>
    <w:rsid w:val="00106CC3"/>
    <w:rsid w:val="00117C07"/>
    <w:rsid w:val="00151943"/>
    <w:rsid w:val="00192609"/>
    <w:rsid w:val="001A0D88"/>
    <w:rsid w:val="001E07FF"/>
    <w:rsid w:val="00222D0E"/>
    <w:rsid w:val="0023145C"/>
    <w:rsid w:val="00240868"/>
    <w:rsid w:val="002414ED"/>
    <w:rsid w:val="002450D5"/>
    <w:rsid w:val="00254146"/>
    <w:rsid w:val="00270F81"/>
    <w:rsid w:val="00282639"/>
    <w:rsid w:val="002C559B"/>
    <w:rsid w:val="00307034"/>
    <w:rsid w:val="0031062A"/>
    <w:rsid w:val="00345EBC"/>
    <w:rsid w:val="00352898"/>
    <w:rsid w:val="003679E4"/>
    <w:rsid w:val="00384938"/>
    <w:rsid w:val="003A54A2"/>
    <w:rsid w:val="003B0E07"/>
    <w:rsid w:val="003C304D"/>
    <w:rsid w:val="003C562F"/>
    <w:rsid w:val="00413152"/>
    <w:rsid w:val="00415C79"/>
    <w:rsid w:val="00451916"/>
    <w:rsid w:val="004548C9"/>
    <w:rsid w:val="00490130"/>
    <w:rsid w:val="00492E32"/>
    <w:rsid w:val="004A3242"/>
    <w:rsid w:val="004B50E2"/>
    <w:rsid w:val="004B7E8B"/>
    <w:rsid w:val="005018E4"/>
    <w:rsid w:val="00516FD6"/>
    <w:rsid w:val="00520C7B"/>
    <w:rsid w:val="00530394"/>
    <w:rsid w:val="00551BB8"/>
    <w:rsid w:val="00572ECB"/>
    <w:rsid w:val="0059727F"/>
    <w:rsid w:val="005E4A07"/>
    <w:rsid w:val="0061210F"/>
    <w:rsid w:val="00667DE9"/>
    <w:rsid w:val="006B156B"/>
    <w:rsid w:val="006C1B08"/>
    <w:rsid w:val="007109E0"/>
    <w:rsid w:val="007111FF"/>
    <w:rsid w:val="0071262A"/>
    <w:rsid w:val="007130EA"/>
    <w:rsid w:val="00727B02"/>
    <w:rsid w:val="007433BF"/>
    <w:rsid w:val="007B4222"/>
    <w:rsid w:val="007B4C81"/>
    <w:rsid w:val="007B6028"/>
    <w:rsid w:val="007B6235"/>
    <w:rsid w:val="007F12E3"/>
    <w:rsid w:val="007F14D9"/>
    <w:rsid w:val="0083260D"/>
    <w:rsid w:val="00845B95"/>
    <w:rsid w:val="008A409C"/>
    <w:rsid w:val="008C0DCE"/>
    <w:rsid w:val="008D0C0B"/>
    <w:rsid w:val="00973544"/>
    <w:rsid w:val="00987813"/>
    <w:rsid w:val="00990A56"/>
    <w:rsid w:val="009A4581"/>
    <w:rsid w:val="009F223F"/>
    <w:rsid w:val="009F7AA0"/>
    <w:rsid w:val="00A03975"/>
    <w:rsid w:val="00A43393"/>
    <w:rsid w:val="00A45174"/>
    <w:rsid w:val="00A83023"/>
    <w:rsid w:val="00A8794F"/>
    <w:rsid w:val="00AB32C8"/>
    <w:rsid w:val="00AB74A7"/>
    <w:rsid w:val="00AD60CA"/>
    <w:rsid w:val="00AE209B"/>
    <w:rsid w:val="00AF167F"/>
    <w:rsid w:val="00AF3ECA"/>
    <w:rsid w:val="00AF68C4"/>
    <w:rsid w:val="00B022EF"/>
    <w:rsid w:val="00B364C6"/>
    <w:rsid w:val="00B41E0A"/>
    <w:rsid w:val="00B66F3C"/>
    <w:rsid w:val="00B86A76"/>
    <w:rsid w:val="00BB2229"/>
    <w:rsid w:val="00BC4BFB"/>
    <w:rsid w:val="00BD5089"/>
    <w:rsid w:val="00BE094B"/>
    <w:rsid w:val="00BF3B6B"/>
    <w:rsid w:val="00C0011D"/>
    <w:rsid w:val="00C8139E"/>
    <w:rsid w:val="00C8430D"/>
    <w:rsid w:val="00CA5CA9"/>
    <w:rsid w:val="00CB00D0"/>
    <w:rsid w:val="00CE4015"/>
    <w:rsid w:val="00CF0C95"/>
    <w:rsid w:val="00D2067A"/>
    <w:rsid w:val="00D33692"/>
    <w:rsid w:val="00D34685"/>
    <w:rsid w:val="00D77E19"/>
    <w:rsid w:val="00D90B3A"/>
    <w:rsid w:val="00DA73CE"/>
    <w:rsid w:val="00DB5BAA"/>
    <w:rsid w:val="00DC5C91"/>
    <w:rsid w:val="00DE1FF9"/>
    <w:rsid w:val="00E0444B"/>
    <w:rsid w:val="00E0596E"/>
    <w:rsid w:val="00E4431B"/>
    <w:rsid w:val="00E81EB4"/>
    <w:rsid w:val="00EE7F75"/>
    <w:rsid w:val="00F23279"/>
    <w:rsid w:val="00FB6165"/>
    <w:rsid w:val="00FC57B4"/>
    <w:rsid w:val="00FD4E62"/>
    <w:rsid w:val="00FD62BC"/>
    <w:rsid w:val="00FD69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AB2B"/>
  <w15:chartTrackingRefBased/>
  <w15:docId w15:val="{31D5F076-1263-40F7-BC6C-DB45243E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CA"/>
  </w:style>
  <w:style w:type="paragraph" w:styleId="Heading1">
    <w:name w:val="heading 1"/>
    <w:basedOn w:val="Normal"/>
    <w:next w:val="Normal"/>
    <w:link w:val="Heading1Char"/>
    <w:uiPriority w:val="9"/>
    <w:qFormat/>
    <w:rsid w:val="00AD60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D60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D60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AD60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D60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D60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D60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D60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D60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0C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AD60CA"/>
    <w:rPr>
      <w:rFonts w:asciiTheme="majorHAnsi" w:eastAsiaTheme="majorEastAsia" w:hAnsiTheme="majorHAnsi" w:cstheme="majorBidi"/>
      <w:i/>
      <w:iCs/>
      <w:caps/>
      <w:color w:val="1F3864" w:themeColor="accent1" w:themeShade="80"/>
    </w:rPr>
  </w:style>
  <w:style w:type="character" w:styleId="Hyperlink">
    <w:name w:val="Hyperlink"/>
    <w:basedOn w:val="DefaultParagraphFont"/>
    <w:uiPriority w:val="99"/>
    <w:semiHidden/>
    <w:unhideWhenUsed/>
    <w:rsid w:val="001E07FF"/>
    <w:rPr>
      <w:color w:val="0563C1" w:themeColor="hyperlink"/>
      <w:u w:val="single"/>
    </w:rPr>
  </w:style>
  <w:style w:type="paragraph" w:styleId="BodyText2">
    <w:name w:val="Body Text 2"/>
    <w:basedOn w:val="Normal"/>
    <w:link w:val="BodyText2Char"/>
    <w:uiPriority w:val="99"/>
    <w:semiHidden/>
    <w:unhideWhenUsed/>
    <w:rsid w:val="001E07FF"/>
    <w:rPr>
      <w:rFonts w:cstheme="minorHAnsi"/>
      <w:sz w:val="24"/>
      <w:szCs w:val="24"/>
    </w:rPr>
  </w:style>
  <w:style w:type="character" w:customStyle="1" w:styleId="BodyText2Char">
    <w:name w:val="Body Text 2 Char"/>
    <w:basedOn w:val="DefaultParagraphFont"/>
    <w:link w:val="BodyText2"/>
    <w:uiPriority w:val="99"/>
    <w:semiHidden/>
    <w:rsid w:val="001E07FF"/>
    <w:rPr>
      <w:rFonts w:asciiTheme="minorHAnsi" w:eastAsia="Calibri" w:hAnsiTheme="minorHAnsi" w:cstheme="minorHAnsi"/>
      <w:b/>
      <w:sz w:val="24"/>
      <w:szCs w:val="24"/>
    </w:rPr>
  </w:style>
  <w:style w:type="paragraph" w:styleId="BodyText3">
    <w:name w:val="Body Text 3"/>
    <w:basedOn w:val="Normal"/>
    <w:link w:val="BodyText3Char"/>
    <w:uiPriority w:val="99"/>
    <w:semiHidden/>
    <w:unhideWhenUsed/>
    <w:rsid w:val="001E07FF"/>
    <w:rPr>
      <w:i/>
    </w:rPr>
  </w:style>
  <w:style w:type="character" w:customStyle="1" w:styleId="BodyText3Char">
    <w:name w:val="Body Text 3 Char"/>
    <w:basedOn w:val="DefaultParagraphFont"/>
    <w:link w:val="BodyText3"/>
    <w:uiPriority w:val="99"/>
    <w:semiHidden/>
    <w:rsid w:val="001E07FF"/>
    <w:rPr>
      <w:rFonts w:eastAsia="Calibri" w:cs="Times New Roman"/>
      <w:b/>
      <w:i/>
      <w:sz w:val="22"/>
      <w:szCs w:val="22"/>
    </w:rPr>
  </w:style>
  <w:style w:type="paragraph" w:styleId="ListParagraph">
    <w:name w:val="List Paragraph"/>
    <w:basedOn w:val="Normal"/>
    <w:uiPriority w:val="34"/>
    <w:qFormat/>
    <w:rsid w:val="001E07FF"/>
    <w:pPr>
      <w:ind w:left="720"/>
      <w:contextualSpacing/>
    </w:pPr>
  </w:style>
  <w:style w:type="table" w:styleId="TableGrid">
    <w:name w:val="Table Grid"/>
    <w:basedOn w:val="TableNormal"/>
    <w:uiPriority w:val="59"/>
    <w:rsid w:val="001E07FF"/>
    <w:pPr>
      <w:spacing w:after="200" w:line="276" w:lineRule="auto"/>
    </w:pPr>
    <w:rPr>
      <w:rFonts w:ascii="Times New Roman" w:eastAsia="Times New Roman" w:hAnsi="Times New Roman" w:cs="Times New Roman"/>
      <w:b/>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D60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D60CA"/>
    <w:rPr>
      <w:rFonts w:asciiTheme="majorHAnsi" w:eastAsiaTheme="majorEastAsia" w:hAnsiTheme="majorHAnsi" w:cstheme="majorBidi"/>
      <w:color w:val="2F5496" w:themeColor="accent1" w:themeShade="BF"/>
      <w:sz w:val="28"/>
      <w:szCs w:val="28"/>
    </w:rPr>
  </w:style>
  <w:style w:type="paragraph" w:styleId="Header">
    <w:name w:val="header"/>
    <w:basedOn w:val="Normal"/>
    <w:link w:val="HeaderChar"/>
    <w:uiPriority w:val="99"/>
    <w:unhideWhenUsed/>
    <w:rsid w:val="00AF3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CA"/>
    <w:rPr>
      <w:rFonts w:eastAsia="Calibri" w:cs="Times New Roman"/>
      <w:b/>
      <w:sz w:val="22"/>
      <w:szCs w:val="22"/>
    </w:rPr>
  </w:style>
  <w:style w:type="paragraph" w:styleId="Footer">
    <w:name w:val="footer"/>
    <w:basedOn w:val="Normal"/>
    <w:link w:val="FooterChar"/>
    <w:uiPriority w:val="99"/>
    <w:unhideWhenUsed/>
    <w:rsid w:val="00AF3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ECA"/>
    <w:rPr>
      <w:rFonts w:eastAsia="Calibri" w:cs="Times New Roman"/>
      <w:b/>
      <w:sz w:val="22"/>
      <w:szCs w:val="22"/>
    </w:rPr>
  </w:style>
  <w:style w:type="paragraph" w:styleId="NoSpacing">
    <w:name w:val="No Spacing"/>
    <w:link w:val="NoSpacingChar"/>
    <w:uiPriority w:val="1"/>
    <w:qFormat/>
    <w:rsid w:val="00AD60CA"/>
    <w:pPr>
      <w:spacing w:after="0" w:line="240" w:lineRule="auto"/>
    </w:pPr>
  </w:style>
  <w:style w:type="character" w:customStyle="1" w:styleId="NoSpacingChar">
    <w:name w:val="No Spacing Char"/>
    <w:basedOn w:val="DefaultParagraphFont"/>
    <w:link w:val="NoSpacing"/>
    <w:uiPriority w:val="1"/>
    <w:rsid w:val="00BE094B"/>
  </w:style>
  <w:style w:type="character" w:customStyle="1" w:styleId="Heading1Char">
    <w:name w:val="Heading 1 Char"/>
    <w:basedOn w:val="DefaultParagraphFont"/>
    <w:link w:val="Heading1"/>
    <w:uiPriority w:val="9"/>
    <w:rsid w:val="00AD60CA"/>
    <w:rPr>
      <w:rFonts w:asciiTheme="majorHAnsi" w:eastAsiaTheme="majorEastAsia" w:hAnsiTheme="majorHAnsi" w:cstheme="majorBidi"/>
      <w:color w:val="1F3864" w:themeColor="accent1" w:themeShade="80"/>
      <w:sz w:val="36"/>
      <w:szCs w:val="36"/>
    </w:rPr>
  </w:style>
  <w:style w:type="character" w:customStyle="1" w:styleId="Heading5Char">
    <w:name w:val="Heading 5 Char"/>
    <w:basedOn w:val="DefaultParagraphFont"/>
    <w:link w:val="Heading5"/>
    <w:uiPriority w:val="9"/>
    <w:semiHidden/>
    <w:rsid w:val="00AD60CA"/>
    <w:rPr>
      <w:rFonts w:asciiTheme="majorHAnsi" w:eastAsiaTheme="majorEastAsia" w:hAnsiTheme="majorHAnsi" w:cstheme="majorBidi"/>
      <w:caps/>
      <w:color w:val="2F5496" w:themeColor="accent1" w:themeShade="BF"/>
    </w:rPr>
  </w:style>
  <w:style w:type="character" w:customStyle="1" w:styleId="Heading7Char">
    <w:name w:val="Heading 7 Char"/>
    <w:basedOn w:val="DefaultParagraphFont"/>
    <w:link w:val="Heading7"/>
    <w:uiPriority w:val="9"/>
    <w:semiHidden/>
    <w:rsid w:val="00AD60C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D60C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D60C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D60CA"/>
    <w:pPr>
      <w:spacing w:line="240" w:lineRule="auto"/>
    </w:pPr>
    <w:rPr>
      <w:b/>
      <w:bCs/>
      <w:smallCaps/>
      <w:color w:val="44546A" w:themeColor="text2"/>
    </w:rPr>
  </w:style>
  <w:style w:type="paragraph" w:styleId="Title">
    <w:name w:val="Title"/>
    <w:basedOn w:val="Normal"/>
    <w:next w:val="Normal"/>
    <w:link w:val="TitleChar"/>
    <w:uiPriority w:val="10"/>
    <w:qFormat/>
    <w:rsid w:val="00AD60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D60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D60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D60C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D60CA"/>
    <w:rPr>
      <w:b/>
      <w:bCs/>
    </w:rPr>
  </w:style>
  <w:style w:type="character" w:styleId="Emphasis">
    <w:name w:val="Emphasis"/>
    <w:basedOn w:val="DefaultParagraphFont"/>
    <w:uiPriority w:val="20"/>
    <w:qFormat/>
    <w:rsid w:val="00AD60CA"/>
    <w:rPr>
      <w:i/>
      <w:iCs/>
    </w:rPr>
  </w:style>
  <w:style w:type="paragraph" w:styleId="Quote">
    <w:name w:val="Quote"/>
    <w:basedOn w:val="Normal"/>
    <w:next w:val="Normal"/>
    <w:link w:val="QuoteChar"/>
    <w:uiPriority w:val="29"/>
    <w:qFormat/>
    <w:rsid w:val="00AD60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D60CA"/>
    <w:rPr>
      <w:color w:val="44546A" w:themeColor="text2"/>
      <w:sz w:val="24"/>
      <w:szCs w:val="24"/>
    </w:rPr>
  </w:style>
  <w:style w:type="paragraph" w:styleId="IntenseQuote">
    <w:name w:val="Intense Quote"/>
    <w:basedOn w:val="Normal"/>
    <w:next w:val="Normal"/>
    <w:link w:val="IntenseQuoteChar"/>
    <w:uiPriority w:val="30"/>
    <w:qFormat/>
    <w:rsid w:val="00AD60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D60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D60CA"/>
    <w:rPr>
      <w:i/>
      <w:iCs/>
      <w:color w:val="595959" w:themeColor="text1" w:themeTint="A6"/>
    </w:rPr>
  </w:style>
  <w:style w:type="character" w:styleId="IntenseEmphasis">
    <w:name w:val="Intense Emphasis"/>
    <w:basedOn w:val="DefaultParagraphFont"/>
    <w:uiPriority w:val="21"/>
    <w:qFormat/>
    <w:rsid w:val="00AD60CA"/>
    <w:rPr>
      <w:b/>
      <w:bCs/>
      <w:i/>
      <w:iCs/>
    </w:rPr>
  </w:style>
  <w:style w:type="character" w:styleId="SubtleReference">
    <w:name w:val="Subtle Reference"/>
    <w:basedOn w:val="DefaultParagraphFont"/>
    <w:uiPriority w:val="31"/>
    <w:qFormat/>
    <w:rsid w:val="00AD60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D60CA"/>
    <w:rPr>
      <w:b/>
      <w:bCs/>
      <w:smallCaps/>
      <w:color w:val="44546A" w:themeColor="text2"/>
      <w:u w:val="single"/>
    </w:rPr>
  </w:style>
  <w:style w:type="character" w:styleId="BookTitle">
    <w:name w:val="Book Title"/>
    <w:basedOn w:val="DefaultParagraphFont"/>
    <w:uiPriority w:val="33"/>
    <w:qFormat/>
    <w:rsid w:val="00AD60CA"/>
    <w:rPr>
      <w:b/>
      <w:bCs/>
      <w:smallCaps/>
      <w:spacing w:val="10"/>
    </w:rPr>
  </w:style>
  <w:style w:type="paragraph" w:styleId="TOCHeading">
    <w:name w:val="TOC Heading"/>
    <w:basedOn w:val="Heading1"/>
    <w:next w:val="Normal"/>
    <w:uiPriority w:val="39"/>
    <w:semiHidden/>
    <w:unhideWhenUsed/>
    <w:qFormat/>
    <w:rsid w:val="00AD60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9901">
      <w:bodyDiv w:val="1"/>
      <w:marLeft w:val="0"/>
      <w:marRight w:val="0"/>
      <w:marTop w:val="0"/>
      <w:marBottom w:val="0"/>
      <w:divBdr>
        <w:top w:val="none" w:sz="0" w:space="0" w:color="auto"/>
        <w:left w:val="none" w:sz="0" w:space="0" w:color="auto"/>
        <w:bottom w:val="none" w:sz="0" w:space="0" w:color="auto"/>
        <w:right w:val="none" w:sz="0" w:space="0" w:color="auto"/>
      </w:divBdr>
    </w:div>
    <w:div w:id="769861455">
      <w:bodyDiv w:val="1"/>
      <w:marLeft w:val="0"/>
      <w:marRight w:val="0"/>
      <w:marTop w:val="0"/>
      <w:marBottom w:val="0"/>
      <w:divBdr>
        <w:top w:val="none" w:sz="0" w:space="0" w:color="auto"/>
        <w:left w:val="none" w:sz="0" w:space="0" w:color="auto"/>
        <w:bottom w:val="none" w:sz="0" w:space="0" w:color="auto"/>
        <w:right w:val="none" w:sz="0" w:space="0" w:color="auto"/>
      </w:divBdr>
    </w:div>
    <w:div w:id="880285525">
      <w:bodyDiv w:val="1"/>
      <w:marLeft w:val="0"/>
      <w:marRight w:val="0"/>
      <w:marTop w:val="0"/>
      <w:marBottom w:val="0"/>
      <w:divBdr>
        <w:top w:val="none" w:sz="0" w:space="0" w:color="auto"/>
        <w:left w:val="none" w:sz="0" w:space="0" w:color="auto"/>
        <w:bottom w:val="none" w:sz="0" w:space="0" w:color="auto"/>
        <w:right w:val="none" w:sz="0" w:space="0" w:color="auto"/>
      </w:divBdr>
    </w:div>
    <w:div w:id="925503104">
      <w:bodyDiv w:val="1"/>
      <w:marLeft w:val="0"/>
      <w:marRight w:val="0"/>
      <w:marTop w:val="0"/>
      <w:marBottom w:val="0"/>
      <w:divBdr>
        <w:top w:val="none" w:sz="0" w:space="0" w:color="auto"/>
        <w:left w:val="none" w:sz="0" w:space="0" w:color="auto"/>
        <w:bottom w:val="none" w:sz="0" w:space="0" w:color="auto"/>
        <w:right w:val="none" w:sz="0" w:space="0" w:color="auto"/>
      </w:divBdr>
    </w:div>
    <w:div w:id="1030765751">
      <w:bodyDiv w:val="1"/>
      <w:marLeft w:val="0"/>
      <w:marRight w:val="0"/>
      <w:marTop w:val="0"/>
      <w:marBottom w:val="0"/>
      <w:divBdr>
        <w:top w:val="none" w:sz="0" w:space="0" w:color="auto"/>
        <w:left w:val="none" w:sz="0" w:space="0" w:color="auto"/>
        <w:bottom w:val="none" w:sz="0" w:space="0" w:color="auto"/>
        <w:right w:val="none" w:sz="0" w:space="0" w:color="auto"/>
      </w:divBdr>
    </w:div>
    <w:div w:id="20682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view.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030A-A356-4F71-B4B6-D2C42574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McKee</dc:creator>
  <cp:keywords/>
  <dc:description/>
  <cp:lastModifiedBy>Marjorie McKee</cp:lastModifiedBy>
  <cp:revision>2</cp:revision>
  <dcterms:created xsi:type="dcterms:W3CDTF">2022-04-12T06:59:00Z</dcterms:created>
  <dcterms:modified xsi:type="dcterms:W3CDTF">2022-04-12T06:59:00Z</dcterms:modified>
</cp:coreProperties>
</file>